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B7F87" w14:textId="46DA71A4" w:rsidR="009825F0" w:rsidRPr="009825F0" w:rsidRDefault="00BA2BD2" w:rsidP="009825F0">
      <w:pPr>
        <w:pStyle w:val="a3"/>
        <w:ind w:leftChars="0" w:left="1567"/>
        <w:rPr>
          <w:rFonts w:ascii="Times New Roman" w:eastAsia="標楷體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2449F" wp14:editId="2AF1D727">
                <wp:simplePos x="0" y="0"/>
                <wp:positionH relativeFrom="column">
                  <wp:posOffset>-381635</wp:posOffset>
                </wp:positionH>
                <wp:positionV relativeFrom="paragraph">
                  <wp:posOffset>-484505</wp:posOffset>
                </wp:positionV>
                <wp:extent cx="5895975" cy="1019175"/>
                <wp:effectExtent l="0" t="0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59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5F04A" w14:textId="2E0E5902" w:rsidR="000B0324" w:rsidRDefault="000B0324" w:rsidP="000B0324">
                            <w:pPr>
                              <w:jc w:val="center"/>
                              <w:rPr>
                                <w:rFonts w:ascii="新細明體" w:eastAsia="新細明體" w:hAnsi="新細明體"/>
                                <w:sz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國民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健康署</w:t>
                            </w:r>
                            <w:proofErr w:type="gramEnd"/>
                            <w:r w:rsidR="00E60706">
                              <w:rPr>
                                <w:rFonts w:ascii="新細明體" w:eastAsia="新細明體" w:hAnsi="新細明體" w:hint="eastAsia"/>
                                <w:sz w:val="40"/>
                              </w:rPr>
                              <w:t>「</w:t>
                            </w:r>
                            <w:r w:rsidR="00E60706" w:rsidRPr="007E1615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運動保健</w:t>
                            </w:r>
                            <w:r w:rsidR="00E60706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師資</w:t>
                            </w:r>
                            <w:r w:rsidRPr="007E1615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培訓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計畫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40"/>
                              </w:rPr>
                              <w:t>」</w:t>
                            </w:r>
                          </w:p>
                          <w:p w14:paraId="73D8FE25" w14:textId="5660F4BA" w:rsidR="00E60706" w:rsidRDefault="000B0324" w:rsidP="000B032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第一梯次、第二梯次報名簡章</w:t>
                            </w:r>
                          </w:p>
                          <w:p w14:paraId="669ACA60" w14:textId="77777777" w:rsidR="00E60706" w:rsidRPr="007E1615" w:rsidRDefault="00E60706" w:rsidP="000B032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0.05pt;margin-top:-38.15pt;width:464.2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" fillcolor="white [3201]" stroked="f" strokeweight=".5pt">
                <v:path arrowok="t"/>
                <v:textbox>
                  <w:txbxContent>
                    <w:p w14:paraId="5BE5F04A" w14:textId="2E0E5902" w:rsidR="000B0324" w:rsidRDefault="000B0324" w:rsidP="000B0324">
                      <w:pPr>
                        <w:jc w:val="center"/>
                        <w:rPr>
                          <w:rFonts w:ascii="新細明體" w:eastAsia="新細明體" w:hAnsi="新細明體"/>
                          <w:sz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</w:rPr>
                        <w:t>國民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40"/>
                        </w:rPr>
                        <w:t>健康署</w:t>
                      </w:r>
                      <w:proofErr w:type="gramEnd"/>
                      <w:r w:rsidR="00E60706">
                        <w:rPr>
                          <w:rFonts w:ascii="新細明體" w:eastAsia="新細明體" w:hAnsi="新細明體" w:hint="eastAsia"/>
                          <w:sz w:val="40"/>
                        </w:rPr>
                        <w:t>「</w:t>
                      </w:r>
                      <w:r w:rsidR="00E60706" w:rsidRPr="007E1615">
                        <w:rPr>
                          <w:rFonts w:ascii="標楷體" w:eastAsia="標楷體" w:hAnsi="標楷體" w:hint="eastAsia"/>
                          <w:sz w:val="40"/>
                        </w:rPr>
                        <w:t>運動保健</w:t>
                      </w:r>
                      <w:r w:rsidR="00E60706">
                        <w:rPr>
                          <w:rFonts w:ascii="標楷體" w:eastAsia="標楷體" w:hAnsi="標楷體" w:hint="eastAsia"/>
                          <w:sz w:val="40"/>
                        </w:rPr>
                        <w:t>師資</w:t>
                      </w:r>
                      <w:r w:rsidRPr="007E1615">
                        <w:rPr>
                          <w:rFonts w:ascii="標楷體" w:eastAsia="標楷體" w:hAnsi="標楷體" w:hint="eastAsia"/>
                          <w:sz w:val="40"/>
                        </w:rPr>
                        <w:t>培訓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</w:rPr>
                        <w:t>計畫</w:t>
                      </w:r>
                      <w:r>
                        <w:rPr>
                          <w:rFonts w:ascii="新細明體" w:eastAsia="新細明體" w:hAnsi="新細明體" w:hint="eastAsia"/>
                          <w:sz w:val="40"/>
                        </w:rPr>
                        <w:t>」</w:t>
                      </w:r>
                    </w:p>
                    <w:p w14:paraId="73D8FE25" w14:textId="5660F4BA" w:rsidR="00E60706" w:rsidRDefault="000B0324" w:rsidP="000B0324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</w:rPr>
                        <w:t>第一梯次、第二梯次報名簡章</w:t>
                      </w:r>
                    </w:p>
                    <w:p w14:paraId="669ACA60" w14:textId="77777777" w:rsidR="00E60706" w:rsidRPr="007E1615" w:rsidRDefault="00E60706" w:rsidP="000B0324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8FF33B" w14:textId="1037C703" w:rsidR="00B4169E" w:rsidRPr="008D1BFE" w:rsidRDefault="00B4169E" w:rsidP="00B4169E"/>
    <w:p w14:paraId="1C72FCEC" w14:textId="50494CFF" w:rsidR="00B4169E" w:rsidRDefault="000B0324" w:rsidP="00B4169E">
      <w:pPr>
        <w:numPr>
          <w:ilvl w:val="0"/>
          <w:numId w:val="4"/>
        </w:numPr>
        <w:snapToGrid w:val="0"/>
        <w:spacing w:beforeLines="50" w:before="180"/>
        <w:ind w:left="709" w:hanging="709"/>
        <w:jc w:val="both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計畫目的</w:t>
      </w:r>
    </w:p>
    <w:p w14:paraId="271BB492" w14:textId="340DF2A7" w:rsidR="000B0324" w:rsidRPr="000B0324" w:rsidRDefault="000B0324" w:rsidP="000B0324">
      <w:pPr>
        <w:snapToGrid w:val="0"/>
        <w:spacing w:beforeLines="50" w:before="180" w:line="360" w:lineRule="auto"/>
        <w:ind w:left="709" w:firstLineChars="202" w:firstLine="566"/>
        <w:jc w:val="both"/>
        <w:rPr>
          <w:rFonts w:ascii="標楷體" w:eastAsia="標楷體" w:hAnsi="標楷體"/>
          <w:sz w:val="28"/>
        </w:rPr>
      </w:pPr>
      <w:r w:rsidRPr="000B0324">
        <w:rPr>
          <w:rFonts w:ascii="標楷體" w:eastAsia="標楷體" w:hAnsi="標楷體" w:hint="eastAsia"/>
          <w:sz w:val="28"/>
        </w:rPr>
        <w:t>為因應高齡化社會，促進健康老化，向前延伸預防功能，減少長者衰弱、失能風險，</w:t>
      </w:r>
      <w:proofErr w:type="gramStart"/>
      <w:r w:rsidRPr="000B0324">
        <w:rPr>
          <w:rFonts w:ascii="標楷體" w:eastAsia="標楷體" w:hAnsi="標楷體" w:hint="eastAsia"/>
          <w:sz w:val="28"/>
        </w:rPr>
        <w:t>本署規劃</w:t>
      </w:r>
      <w:proofErr w:type="gramEnd"/>
      <w:r w:rsidRPr="000B0324">
        <w:rPr>
          <w:rFonts w:ascii="標楷體" w:eastAsia="標楷體" w:hAnsi="標楷體" w:hint="eastAsia"/>
          <w:sz w:val="28"/>
        </w:rPr>
        <w:t>辦理</w:t>
      </w:r>
      <w:r>
        <w:rPr>
          <w:rFonts w:ascii="標楷體" w:eastAsia="標楷體" w:hAnsi="標楷體" w:hint="eastAsia"/>
          <w:sz w:val="28"/>
        </w:rPr>
        <w:t>11梯次「</w:t>
      </w:r>
      <w:r w:rsidRPr="000B0324">
        <w:rPr>
          <w:rFonts w:ascii="標楷體" w:eastAsia="標楷體" w:hAnsi="標楷體" w:hint="eastAsia"/>
          <w:sz w:val="28"/>
        </w:rPr>
        <w:t>運動保健</w:t>
      </w:r>
      <w:r>
        <w:rPr>
          <w:rFonts w:ascii="標楷體" w:eastAsia="標楷體" w:hAnsi="標楷體" w:hint="eastAsia"/>
          <w:sz w:val="28"/>
        </w:rPr>
        <w:t>師資</w:t>
      </w:r>
      <w:r w:rsidRPr="000B0324">
        <w:rPr>
          <w:rFonts w:ascii="標楷體" w:eastAsia="標楷體" w:hAnsi="標楷體" w:hint="eastAsia"/>
          <w:sz w:val="28"/>
        </w:rPr>
        <w:t>培訓</w:t>
      </w:r>
      <w:r>
        <w:rPr>
          <w:rFonts w:ascii="標楷體" w:eastAsia="標楷體" w:hAnsi="標楷體" w:hint="eastAsia"/>
          <w:sz w:val="28"/>
        </w:rPr>
        <w:t>」</w:t>
      </w:r>
      <w:r w:rsidRPr="000B0324">
        <w:rPr>
          <w:rFonts w:ascii="標楷體" w:eastAsia="標楷體" w:hAnsi="標楷體" w:hint="eastAsia"/>
          <w:sz w:val="28"/>
        </w:rPr>
        <w:t>課程，以運動及</w:t>
      </w:r>
      <w:proofErr w:type="gramStart"/>
      <w:r w:rsidRPr="000B0324">
        <w:rPr>
          <w:rFonts w:ascii="標楷體" w:eastAsia="標楷體" w:hAnsi="標楷體" w:hint="eastAsia"/>
          <w:sz w:val="28"/>
        </w:rPr>
        <w:t>醫</w:t>
      </w:r>
      <w:proofErr w:type="gramEnd"/>
      <w:r w:rsidRPr="000B0324">
        <w:rPr>
          <w:rFonts w:ascii="標楷體" w:eastAsia="標楷體" w:hAnsi="標楷體" w:hint="eastAsia"/>
          <w:sz w:val="28"/>
        </w:rPr>
        <w:t>事專業人員為對象，進行高齡者運動相關增能培訓，並增加</w:t>
      </w:r>
      <w:proofErr w:type="gramStart"/>
      <w:r w:rsidRPr="000B0324">
        <w:rPr>
          <w:rFonts w:ascii="標楷體" w:eastAsia="標楷體" w:hAnsi="標楷體" w:hint="eastAsia"/>
          <w:sz w:val="28"/>
        </w:rPr>
        <w:t>運用本署105年</w:t>
      </w:r>
      <w:proofErr w:type="gramEnd"/>
      <w:r w:rsidRPr="000B0324">
        <w:rPr>
          <w:rFonts w:ascii="標楷體" w:eastAsia="標楷體" w:hAnsi="標楷體" w:hint="eastAsia"/>
          <w:sz w:val="28"/>
        </w:rPr>
        <w:t>「不同行動功能高齡者介入模式計畫」發展完成具實證基礎之介入模式及「高齡者健康操」影片等不同介入工具，促使運動保健與基層醫療保健服務相結合</w:t>
      </w:r>
      <w:r>
        <w:rPr>
          <w:rFonts w:ascii="標楷體" w:eastAsia="標楷體" w:hAnsi="標楷體" w:hint="eastAsia"/>
          <w:sz w:val="28"/>
        </w:rPr>
        <w:t>，</w:t>
      </w:r>
      <w:r w:rsidR="007F2737" w:rsidRPr="000C288D">
        <w:rPr>
          <w:rFonts w:ascii="標楷體" w:eastAsia="標楷體" w:hAnsi="標楷體" w:hint="eastAsia"/>
          <w:color w:val="000000"/>
          <w:sz w:val="28"/>
          <w:szCs w:val="28"/>
        </w:rPr>
        <w:t>連結</w:t>
      </w:r>
      <w:r w:rsidR="007F2737" w:rsidRPr="00767D4F">
        <w:rPr>
          <w:rFonts w:ascii="標楷體" w:eastAsia="標楷體" w:hAnsi="標楷體" w:hint="eastAsia"/>
          <w:color w:val="000000"/>
          <w:sz w:val="28"/>
          <w:szCs w:val="28"/>
        </w:rPr>
        <w:t>社區健康營造計畫</w:t>
      </w:r>
      <w:r w:rsidR="007F2737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 w:rsidR="007F2737" w:rsidRPr="00767D4F">
        <w:rPr>
          <w:rFonts w:ascii="標楷體" w:eastAsia="標楷體" w:hAnsi="標楷體" w:hint="eastAsia"/>
          <w:color w:val="000000"/>
          <w:sz w:val="28"/>
          <w:szCs w:val="28"/>
        </w:rPr>
        <w:t>相關業務計畫</w:t>
      </w:r>
      <w:r w:rsidR="007F273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</w:rPr>
        <w:t>媒合</w:t>
      </w:r>
      <w:r w:rsidR="007F2737">
        <w:rPr>
          <w:rFonts w:ascii="標楷體" w:eastAsia="標楷體" w:hAnsi="標楷體" w:hint="eastAsia"/>
          <w:sz w:val="28"/>
        </w:rPr>
        <w:t>本課程</w:t>
      </w:r>
      <w:proofErr w:type="gramEnd"/>
      <w:r>
        <w:rPr>
          <w:rFonts w:ascii="標楷體" w:eastAsia="標楷體" w:hAnsi="標楷體" w:hint="eastAsia"/>
          <w:sz w:val="28"/>
        </w:rPr>
        <w:t>培訓師資</w:t>
      </w:r>
      <w:proofErr w:type="gramStart"/>
      <w:r w:rsidRPr="008D1BFE">
        <w:rPr>
          <w:rFonts w:ascii="標楷體" w:eastAsia="標楷體" w:hAnsi="標楷體" w:hint="eastAsia"/>
          <w:sz w:val="28"/>
        </w:rPr>
        <w:t>擔任本署</w:t>
      </w:r>
      <w:r>
        <w:rPr>
          <w:rFonts w:ascii="標楷體" w:eastAsia="標楷體" w:hAnsi="標楷體" w:hint="eastAsia"/>
          <w:sz w:val="28"/>
        </w:rPr>
        <w:t>相關</w:t>
      </w:r>
      <w:proofErr w:type="gramEnd"/>
      <w:r>
        <w:rPr>
          <w:rFonts w:ascii="標楷體" w:eastAsia="標楷體" w:hAnsi="標楷體" w:hint="eastAsia"/>
          <w:sz w:val="28"/>
        </w:rPr>
        <w:t>計畫</w:t>
      </w:r>
      <w:r w:rsidRPr="008D1BFE">
        <w:rPr>
          <w:rFonts w:ascii="標楷體" w:eastAsia="標楷體" w:hAnsi="標楷體" w:hint="eastAsia"/>
          <w:sz w:val="28"/>
        </w:rPr>
        <w:t>運動</w:t>
      </w:r>
      <w:r>
        <w:rPr>
          <w:rFonts w:ascii="標楷體" w:eastAsia="標楷體" w:hAnsi="標楷體" w:hint="eastAsia"/>
          <w:sz w:val="28"/>
        </w:rPr>
        <w:t>保健</w:t>
      </w:r>
      <w:r w:rsidRPr="008D1BFE">
        <w:rPr>
          <w:rFonts w:ascii="標楷體" w:eastAsia="標楷體" w:hAnsi="標楷體" w:hint="eastAsia"/>
          <w:sz w:val="28"/>
        </w:rPr>
        <w:t>師資。</w:t>
      </w:r>
    </w:p>
    <w:p w14:paraId="5B54247C" w14:textId="2557FDB8" w:rsidR="000B0324" w:rsidRPr="008D1BFE" w:rsidRDefault="000B0324" w:rsidP="00B4169E">
      <w:pPr>
        <w:numPr>
          <w:ilvl w:val="0"/>
          <w:numId w:val="4"/>
        </w:numPr>
        <w:snapToGrid w:val="0"/>
        <w:spacing w:beforeLines="50" w:before="180"/>
        <w:ind w:left="709" w:hanging="709"/>
        <w:jc w:val="both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培訓對象及課程規劃</w:t>
      </w:r>
    </w:p>
    <w:p w14:paraId="025D9F16" w14:textId="77777777" w:rsidR="00B4169E" w:rsidRPr="008D1BFE" w:rsidRDefault="00B4169E" w:rsidP="00B4169E">
      <w:pPr>
        <w:pStyle w:val="a3"/>
        <w:numPr>
          <w:ilvl w:val="0"/>
          <w:numId w:val="5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sz w:val="28"/>
        </w:rPr>
      </w:pPr>
      <w:r w:rsidRPr="008D1BFE">
        <w:rPr>
          <w:rFonts w:ascii="標楷體" w:eastAsia="標楷體" w:hAnsi="標楷體" w:hint="eastAsia"/>
          <w:sz w:val="28"/>
        </w:rPr>
        <w:t>培訓對象：</w:t>
      </w:r>
    </w:p>
    <w:p w14:paraId="5CACCF0E" w14:textId="5CEF5B0E" w:rsidR="00B4169E" w:rsidRPr="008D1BFE" w:rsidRDefault="00B4169E" w:rsidP="00B4169E">
      <w:pPr>
        <w:pStyle w:val="a3"/>
        <w:numPr>
          <w:ilvl w:val="1"/>
          <w:numId w:val="5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sz w:val="28"/>
        </w:rPr>
      </w:pPr>
      <w:proofErr w:type="gramStart"/>
      <w:r w:rsidRPr="008D1BFE">
        <w:rPr>
          <w:rFonts w:ascii="標楷體" w:eastAsia="標楷體" w:hAnsi="標楷體" w:hint="eastAsia"/>
          <w:sz w:val="28"/>
        </w:rPr>
        <w:t>醫</w:t>
      </w:r>
      <w:proofErr w:type="gramEnd"/>
      <w:r w:rsidRPr="008D1BFE">
        <w:rPr>
          <w:rFonts w:ascii="標楷體" w:eastAsia="標楷體" w:hAnsi="標楷體" w:hint="eastAsia"/>
          <w:sz w:val="28"/>
        </w:rPr>
        <w:t>事人員：</w:t>
      </w:r>
      <w:proofErr w:type="gramStart"/>
      <w:r w:rsidRPr="008D1BFE">
        <w:rPr>
          <w:rFonts w:ascii="標楷體" w:eastAsia="標楷體" w:hAnsi="標楷體" w:hint="eastAsia"/>
          <w:sz w:val="28"/>
        </w:rPr>
        <w:t>醫</w:t>
      </w:r>
      <w:proofErr w:type="gramEnd"/>
      <w:r w:rsidRPr="008D1BFE">
        <w:rPr>
          <w:rFonts w:ascii="標楷體" w:eastAsia="標楷體" w:hAnsi="標楷體" w:hint="eastAsia"/>
          <w:sz w:val="28"/>
        </w:rPr>
        <w:t>事人員</w:t>
      </w:r>
      <w:r w:rsidR="000B0324">
        <w:rPr>
          <w:rFonts w:ascii="標楷體" w:eastAsia="標楷體" w:hAnsi="標楷體" w:hint="eastAsia"/>
          <w:sz w:val="28"/>
        </w:rPr>
        <w:t>、</w:t>
      </w:r>
      <w:r w:rsidRPr="008D1BFE">
        <w:rPr>
          <w:rFonts w:ascii="標楷體" w:eastAsia="標楷體" w:hAnsi="標楷體" w:hint="eastAsia"/>
          <w:sz w:val="28"/>
        </w:rPr>
        <w:t>高齡照護相關科系畢業人員</w:t>
      </w:r>
      <w:r w:rsidR="000B0324">
        <w:rPr>
          <w:rFonts w:ascii="標楷體" w:eastAsia="標楷體" w:hAnsi="標楷體" w:hint="eastAsia"/>
          <w:sz w:val="28"/>
        </w:rPr>
        <w:t>及取得老人運動相關證照之運動專業人員</w:t>
      </w:r>
      <w:r w:rsidRPr="008D1BFE">
        <w:rPr>
          <w:rFonts w:ascii="標楷體" w:eastAsia="標楷體" w:hAnsi="標楷體" w:hint="eastAsia"/>
          <w:sz w:val="28"/>
        </w:rPr>
        <w:t>。</w:t>
      </w:r>
    </w:p>
    <w:p w14:paraId="6C90318A" w14:textId="1F1A2EDE" w:rsidR="00B4169E" w:rsidRPr="008D1BFE" w:rsidRDefault="00B4169E" w:rsidP="00B4169E">
      <w:pPr>
        <w:pStyle w:val="a3"/>
        <w:numPr>
          <w:ilvl w:val="1"/>
          <w:numId w:val="5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sz w:val="28"/>
        </w:rPr>
      </w:pPr>
      <w:r w:rsidRPr="008D1BFE">
        <w:rPr>
          <w:rFonts w:ascii="標楷體" w:eastAsia="標楷體" w:hAnsi="標楷體" w:hint="eastAsia"/>
          <w:sz w:val="28"/>
        </w:rPr>
        <w:t>運動專業人員：大學以上以體育相關科系之運動專業人員(包括：國民體適能指導員、運動指導員、</w:t>
      </w:r>
      <w:r w:rsidR="00893053">
        <w:rPr>
          <w:rFonts w:ascii="標楷體" w:eastAsia="標楷體" w:hAnsi="標楷體" w:hint="eastAsia"/>
          <w:sz w:val="28"/>
        </w:rPr>
        <w:t>運動防護員、</w:t>
      </w:r>
      <w:r w:rsidRPr="008D1BFE">
        <w:rPr>
          <w:rFonts w:ascii="標楷體" w:eastAsia="標楷體" w:hAnsi="標楷體" w:hint="eastAsia"/>
          <w:sz w:val="28"/>
        </w:rPr>
        <w:t>取得民間執照之運動教練等專業運動背景人士)</w:t>
      </w:r>
    </w:p>
    <w:p w14:paraId="72C969B9" w14:textId="7643FAB0" w:rsidR="00B4169E" w:rsidRDefault="00B4169E" w:rsidP="00B4169E">
      <w:pPr>
        <w:pStyle w:val="a3"/>
        <w:numPr>
          <w:ilvl w:val="0"/>
          <w:numId w:val="5"/>
        </w:numPr>
        <w:snapToGrid w:val="0"/>
        <w:spacing w:line="500" w:lineRule="exact"/>
        <w:ind w:leftChars="0" w:left="709" w:hanging="709"/>
        <w:jc w:val="both"/>
        <w:rPr>
          <w:rFonts w:ascii="標楷體" w:eastAsia="標楷體" w:hAnsi="標楷體"/>
          <w:sz w:val="28"/>
        </w:rPr>
      </w:pPr>
      <w:r w:rsidRPr="008D1BFE">
        <w:rPr>
          <w:rFonts w:ascii="標楷體" w:eastAsia="標楷體" w:hAnsi="標楷體" w:hint="eastAsia"/>
          <w:sz w:val="28"/>
        </w:rPr>
        <w:t>培訓人數：106年規劃辦理北中南東共11場，</w:t>
      </w:r>
      <w:r w:rsidR="000B0324">
        <w:rPr>
          <w:rFonts w:ascii="標楷體" w:eastAsia="標楷體" w:hAnsi="標楷體" w:hint="eastAsia"/>
          <w:sz w:val="28"/>
        </w:rPr>
        <w:t>共計8</w:t>
      </w:r>
      <w:r w:rsidRPr="008D1BFE">
        <w:rPr>
          <w:rFonts w:ascii="標楷體" w:eastAsia="標楷體" w:hAnsi="標楷體" w:hint="eastAsia"/>
          <w:sz w:val="28"/>
        </w:rPr>
        <w:t>00人。</w:t>
      </w:r>
    </w:p>
    <w:p w14:paraId="33E9E24F" w14:textId="2C67E12B" w:rsidR="00B4169E" w:rsidRPr="008D1BFE" w:rsidRDefault="00B4169E" w:rsidP="00B4169E">
      <w:pPr>
        <w:pStyle w:val="a3"/>
        <w:numPr>
          <w:ilvl w:val="0"/>
          <w:numId w:val="5"/>
        </w:numPr>
        <w:snapToGrid w:val="0"/>
        <w:spacing w:line="500" w:lineRule="exact"/>
        <w:ind w:leftChars="0" w:left="709" w:hanging="709"/>
        <w:jc w:val="both"/>
        <w:rPr>
          <w:rFonts w:ascii="標楷體" w:eastAsia="標楷體" w:hAnsi="標楷體"/>
          <w:sz w:val="28"/>
        </w:rPr>
      </w:pPr>
      <w:r w:rsidRPr="008D1BFE">
        <w:rPr>
          <w:rFonts w:ascii="標楷體" w:eastAsia="標楷體" w:hAnsi="標楷體" w:hint="eastAsia"/>
          <w:sz w:val="28"/>
        </w:rPr>
        <w:t>培訓時數：</w:t>
      </w:r>
    </w:p>
    <w:p w14:paraId="2E9BAD2B" w14:textId="77777777" w:rsidR="00B4169E" w:rsidRPr="008D1BFE" w:rsidRDefault="00B4169E" w:rsidP="00B4169E">
      <w:pPr>
        <w:pStyle w:val="a3"/>
        <w:numPr>
          <w:ilvl w:val="1"/>
          <w:numId w:val="5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sz w:val="28"/>
        </w:rPr>
      </w:pPr>
      <w:proofErr w:type="gramStart"/>
      <w:r w:rsidRPr="008D1BFE">
        <w:rPr>
          <w:rFonts w:ascii="標楷體" w:eastAsia="標楷體" w:hAnsi="標楷體" w:hint="eastAsia"/>
          <w:sz w:val="28"/>
        </w:rPr>
        <w:t>醫</w:t>
      </w:r>
      <w:proofErr w:type="gramEnd"/>
      <w:r w:rsidRPr="008D1BFE">
        <w:rPr>
          <w:rFonts w:ascii="標楷體" w:eastAsia="標楷體" w:hAnsi="標楷體" w:hint="eastAsia"/>
          <w:sz w:val="28"/>
        </w:rPr>
        <w:t>事人員（含高齡照護相關系所畢業，或取得老人運動相關證照之運動專業人員）：16小時。</w:t>
      </w:r>
    </w:p>
    <w:p w14:paraId="6658A0BC" w14:textId="5906A2B2" w:rsidR="000B0324" w:rsidRDefault="00B4169E" w:rsidP="009A35B0">
      <w:pPr>
        <w:pStyle w:val="a3"/>
        <w:numPr>
          <w:ilvl w:val="1"/>
          <w:numId w:val="5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sz w:val="28"/>
        </w:rPr>
      </w:pPr>
      <w:r w:rsidRPr="000B0324">
        <w:rPr>
          <w:rFonts w:ascii="標楷體" w:eastAsia="標楷體" w:hAnsi="標楷體" w:hint="eastAsia"/>
          <w:sz w:val="28"/>
        </w:rPr>
        <w:t>運動專業人員：20小時。</w:t>
      </w:r>
    </w:p>
    <w:p w14:paraId="6E9C6FC9" w14:textId="13DFD59B" w:rsidR="001D52B9" w:rsidRDefault="001D52B9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14:paraId="0D125994" w14:textId="77777777" w:rsidR="000B0324" w:rsidRDefault="000B0324" w:rsidP="000B0324">
      <w:pPr>
        <w:pStyle w:val="a3"/>
        <w:snapToGrid w:val="0"/>
        <w:spacing w:line="500" w:lineRule="exact"/>
        <w:ind w:leftChars="0" w:left="1200"/>
        <w:jc w:val="both"/>
        <w:rPr>
          <w:rFonts w:ascii="標楷體" w:eastAsia="標楷體" w:hAnsi="標楷體"/>
          <w:sz w:val="28"/>
        </w:rPr>
      </w:pPr>
    </w:p>
    <w:p w14:paraId="29997688" w14:textId="69490865" w:rsidR="007F2737" w:rsidRPr="00893053" w:rsidRDefault="007F2737" w:rsidP="007F2737">
      <w:pPr>
        <w:widowControl/>
        <w:rPr>
          <w:rFonts w:ascii="標楷體" w:eastAsia="標楷體" w:hAnsi="標楷體"/>
        </w:rPr>
      </w:pPr>
      <w:r w:rsidRPr="00893053">
        <w:rPr>
          <w:rFonts w:ascii="標楷體" w:eastAsia="標楷體" w:hAnsi="標楷體" w:hint="eastAsia"/>
        </w:rPr>
        <w:t>第一梯次  臺北市、基隆市、連江縣</w:t>
      </w:r>
    </w:p>
    <w:tbl>
      <w:tblPr>
        <w:tblStyle w:val="a4"/>
        <w:tblW w:w="8873" w:type="dxa"/>
        <w:tblInd w:w="-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6"/>
        <w:gridCol w:w="2292"/>
        <w:gridCol w:w="2924"/>
        <w:gridCol w:w="2121"/>
      </w:tblGrid>
      <w:tr w:rsidR="007F2737" w:rsidRPr="008D1BFE" w14:paraId="253EB088" w14:textId="77777777" w:rsidTr="00222F1C">
        <w:trPr>
          <w:trHeight w:val="568"/>
        </w:trPr>
        <w:tc>
          <w:tcPr>
            <w:tcW w:w="1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4FB7F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12AE6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7ABD3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5/7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777133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</w:t>
            </w:r>
          </w:p>
        </w:tc>
      </w:tr>
      <w:tr w:rsidR="007F2737" w:rsidRPr="008D1BFE" w14:paraId="2B427BFE" w14:textId="77777777" w:rsidTr="00222F1C">
        <w:trPr>
          <w:trHeight w:val="997"/>
        </w:trPr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0726BF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08:20-10:00</w:t>
            </w:r>
          </w:p>
        </w:tc>
        <w:tc>
          <w:tcPr>
            <w:tcW w:w="22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666952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健康生活型態</w:t>
            </w:r>
            <w:r>
              <w:rPr>
                <w:rFonts w:ascii="標楷體" w:eastAsia="標楷體" w:hAnsi="標楷體"/>
                <w:szCs w:val="24"/>
              </w:rPr>
              <w:t xml:space="preserve"> (A)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E332E7" w14:textId="103E74D4" w:rsidR="007F2737" w:rsidRPr="008D1BFE" w:rsidRDefault="000E7EA8" w:rsidP="00222F1C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老人運動醫學及運動傷害處理</w:t>
            </w:r>
            <w:r>
              <w:rPr>
                <w:rFonts w:ascii="標楷體" w:eastAsia="標楷體" w:hAnsi="標楷體"/>
                <w:szCs w:val="24"/>
              </w:rPr>
              <w:t xml:space="preserve"> (C1)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247FA9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老人健康與疾病、運動與慢性病控制</w:t>
            </w:r>
            <w:r>
              <w:rPr>
                <w:rFonts w:ascii="標楷體" w:eastAsia="標楷體" w:hAnsi="標楷體"/>
                <w:szCs w:val="24"/>
              </w:rPr>
              <w:t xml:space="preserve"> (F1)</w:t>
            </w:r>
          </w:p>
        </w:tc>
      </w:tr>
      <w:tr w:rsidR="007F2737" w:rsidRPr="008D1BFE" w14:paraId="115DC549" w14:textId="77777777" w:rsidTr="00222F1C">
        <w:trPr>
          <w:trHeight w:val="1114"/>
        </w:trPr>
        <w:tc>
          <w:tcPr>
            <w:tcW w:w="1536" w:type="dxa"/>
            <w:tcBorders>
              <w:right w:val="single" w:sz="12" w:space="0" w:color="auto"/>
            </w:tcBorders>
            <w:vAlign w:val="center"/>
          </w:tcPr>
          <w:p w14:paraId="309B9405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10:20-12:00</w:t>
            </w:r>
          </w:p>
        </w:tc>
        <w:tc>
          <w:tcPr>
            <w:tcW w:w="2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8A4800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老人衰弱及體適能評估及測試</w:t>
            </w:r>
            <w:r>
              <w:rPr>
                <w:rFonts w:ascii="標楷體" w:eastAsia="標楷體" w:hAnsi="標楷體"/>
                <w:szCs w:val="24"/>
              </w:rPr>
              <w:t xml:space="preserve"> (B)</w:t>
            </w:r>
          </w:p>
        </w:tc>
        <w:tc>
          <w:tcPr>
            <w:tcW w:w="2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F90D14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團隊增能技巧</w:t>
            </w:r>
            <w:r>
              <w:rPr>
                <w:rFonts w:ascii="標楷體" w:eastAsia="標楷體" w:hAnsi="標楷體"/>
                <w:szCs w:val="24"/>
              </w:rPr>
              <w:t xml:space="preserve"> (D2)</w:t>
            </w:r>
          </w:p>
        </w:tc>
        <w:tc>
          <w:tcPr>
            <w:tcW w:w="212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779362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慢性病者運動注意</w:t>
            </w:r>
            <w:r>
              <w:rPr>
                <w:rFonts w:ascii="標楷體" w:eastAsia="標楷體" w:hAnsi="標楷體" w:hint="eastAsia"/>
                <w:szCs w:val="24"/>
              </w:rPr>
              <w:t>事</w:t>
            </w:r>
            <w:r w:rsidRPr="008D1BFE">
              <w:rPr>
                <w:rFonts w:ascii="標楷體" w:eastAsia="標楷體" w:hAnsi="標楷體" w:hint="eastAsia"/>
                <w:szCs w:val="24"/>
              </w:rPr>
              <w:t>項、緊急狀況處理</w:t>
            </w:r>
            <w:r>
              <w:rPr>
                <w:rFonts w:ascii="標楷體" w:eastAsia="標楷體" w:hAnsi="標楷體"/>
                <w:szCs w:val="24"/>
              </w:rPr>
              <w:t xml:space="preserve"> (F2)</w:t>
            </w:r>
          </w:p>
        </w:tc>
      </w:tr>
      <w:tr w:rsidR="007F2737" w:rsidRPr="008D1BFE" w14:paraId="259DFF83" w14:textId="77777777" w:rsidTr="00222F1C">
        <w:trPr>
          <w:trHeight w:val="986"/>
        </w:trPr>
        <w:tc>
          <w:tcPr>
            <w:tcW w:w="1536" w:type="dxa"/>
            <w:tcBorders>
              <w:right w:val="single" w:sz="12" w:space="0" w:color="auto"/>
            </w:tcBorders>
            <w:vAlign w:val="center"/>
          </w:tcPr>
          <w:p w14:paraId="55663B37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12:00-13:20</w:t>
            </w:r>
          </w:p>
        </w:tc>
        <w:tc>
          <w:tcPr>
            <w:tcW w:w="2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FA8193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49C104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0E7E7D6A" w14:textId="77777777" w:rsidR="007F2737" w:rsidRPr="008D1BFE" w:rsidRDefault="007F2737" w:rsidP="00222F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F2737" w:rsidRPr="008D1BFE" w14:paraId="7DF5E8A5" w14:textId="77777777" w:rsidTr="00222F1C">
        <w:trPr>
          <w:trHeight w:val="959"/>
        </w:trPr>
        <w:tc>
          <w:tcPr>
            <w:tcW w:w="1536" w:type="dxa"/>
            <w:tcBorders>
              <w:right w:val="single" w:sz="12" w:space="0" w:color="auto"/>
            </w:tcBorders>
            <w:vAlign w:val="center"/>
          </w:tcPr>
          <w:p w14:paraId="395FFA50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13:20-15:00</w:t>
            </w:r>
          </w:p>
        </w:tc>
        <w:tc>
          <w:tcPr>
            <w:tcW w:w="2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12B1F8" w14:textId="47149214" w:rsidR="007F2737" w:rsidRPr="008D1BFE" w:rsidRDefault="000E7EA8" w:rsidP="000E7EA8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老人運動心理學和溝通</w:t>
            </w:r>
            <w:r>
              <w:rPr>
                <w:rFonts w:ascii="標楷體" w:eastAsia="標楷體" w:hAnsi="標楷體"/>
                <w:szCs w:val="24"/>
              </w:rPr>
              <w:t xml:space="preserve"> (D1)</w:t>
            </w:r>
          </w:p>
        </w:tc>
        <w:tc>
          <w:tcPr>
            <w:tcW w:w="292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4247F2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高齡運動保健課程</w:t>
            </w:r>
            <w:r>
              <w:rPr>
                <w:rFonts w:ascii="標楷體" w:eastAsia="標楷體" w:hAnsi="標楷體"/>
                <w:szCs w:val="24"/>
              </w:rPr>
              <w:t xml:space="preserve"> (E)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13CEC205" w14:textId="77777777" w:rsidR="007F2737" w:rsidRPr="008D1BFE" w:rsidRDefault="007F2737" w:rsidP="00222F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F2737" w:rsidRPr="008D1BFE" w14:paraId="5F81833D" w14:textId="77777777" w:rsidTr="00222F1C">
        <w:trPr>
          <w:trHeight w:val="973"/>
        </w:trPr>
        <w:tc>
          <w:tcPr>
            <w:tcW w:w="15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EAEFEF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15:20-17:00</w:t>
            </w:r>
          </w:p>
        </w:tc>
        <w:tc>
          <w:tcPr>
            <w:tcW w:w="2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03968B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運動安全</w:t>
            </w:r>
            <w:r>
              <w:rPr>
                <w:rFonts w:ascii="標楷體" w:eastAsia="標楷體" w:hAnsi="標楷體"/>
                <w:szCs w:val="24"/>
              </w:rPr>
              <w:t xml:space="preserve"> (C2)</w:t>
            </w:r>
          </w:p>
        </w:tc>
        <w:tc>
          <w:tcPr>
            <w:tcW w:w="29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3097F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24800D0D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6949AFF" w14:textId="77777777" w:rsidR="007F2737" w:rsidRDefault="007F2737" w:rsidP="007F2737"/>
    <w:p w14:paraId="0E0AE854" w14:textId="77777777" w:rsidR="007F2737" w:rsidRPr="00893053" w:rsidRDefault="007F2737" w:rsidP="007F2737">
      <w:pPr>
        <w:rPr>
          <w:rFonts w:ascii="標楷體" w:eastAsia="標楷體" w:hAnsi="標楷體"/>
        </w:rPr>
      </w:pPr>
      <w:r w:rsidRPr="00893053">
        <w:rPr>
          <w:rFonts w:ascii="標楷體" w:eastAsia="標楷體" w:hAnsi="標楷體" w:hint="eastAsia"/>
        </w:rPr>
        <w:t xml:space="preserve">第二梯次  </w:t>
      </w:r>
      <w:r w:rsidRPr="00893053">
        <w:rPr>
          <w:rFonts w:ascii="標楷體" w:eastAsia="標楷體" w:hAnsi="標楷體" w:cs="Times New Roman" w:hint="eastAsia"/>
          <w:color w:val="000000"/>
          <w:kern w:val="0"/>
          <w:szCs w:val="24"/>
        </w:rPr>
        <w:t>新北市</w:t>
      </w:r>
    </w:p>
    <w:tbl>
      <w:tblPr>
        <w:tblStyle w:val="a4"/>
        <w:tblW w:w="8936" w:type="dxa"/>
        <w:tblInd w:w="-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6"/>
        <w:gridCol w:w="2292"/>
        <w:gridCol w:w="2292"/>
        <w:gridCol w:w="2816"/>
      </w:tblGrid>
      <w:tr w:rsidR="007F2737" w:rsidRPr="008D1BFE" w14:paraId="68E1A19A" w14:textId="77777777" w:rsidTr="001D52B9">
        <w:trPr>
          <w:trHeight w:val="568"/>
        </w:trPr>
        <w:tc>
          <w:tcPr>
            <w:tcW w:w="1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FA120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534D2" w14:textId="77777777" w:rsidR="007F2737" w:rsidRDefault="007F2737" w:rsidP="0022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5/14</w:t>
            </w:r>
          </w:p>
        </w:tc>
        <w:tc>
          <w:tcPr>
            <w:tcW w:w="2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84137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</w:t>
            </w:r>
          </w:p>
        </w:tc>
        <w:tc>
          <w:tcPr>
            <w:tcW w:w="2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ACE84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5/21</w:t>
            </w:r>
          </w:p>
        </w:tc>
      </w:tr>
      <w:tr w:rsidR="007F2737" w:rsidRPr="008D1BFE" w14:paraId="56919D1A" w14:textId="77777777" w:rsidTr="001D52B9">
        <w:trPr>
          <w:trHeight w:val="997"/>
        </w:trPr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017055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08:20-10:00</w:t>
            </w:r>
          </w:p>
        </w:tc>
        <w:tc>
          <w:tcPr>
            <w:tcW w:w="22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3F291F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老人健康與疾病、運動與慢性病控制</w:t>
            </w:r>
            <w:r>
              <w:rPr>
                <w:rFonts w:ascii="標楷體" w:eastAsia="標楷體" w:hAnsi="標楷體"/>
                <w:szCs w:val="24"/>
              </w:rPr>
              <w:t xml:space="preserve"> (F1)</w:t>
            </w:r>
          </w:p>
        </w:tc>
        <w:tc>
          <w:tcPr>
            <w:tcW w:w="22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196599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健康生活型態</w:t>
            </w:r>
            <w:r>
              <w:rPr>
                <w:rFonts w:ascii="標楷體" w:eastAsia="標楷體" w:hAnsi="標楷體"/>
                <w:szCs w:val="24"/>
              </w:rPr>
              <w:t xml:space="preserve"> (A)</w:t>
            </w:r>
          </w:p>
        </w:tc>
        <w:tc>
          <w:tcPr>
            <w:tcW w:w="2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5B8888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老人運動心理學和溝通</w:t>
            </w:r>
            <w:r>
              <w:rPr>
                <w:rFonts w:ascii="標楷體" w:eastAsia="標楷體" w:hAnsi="標楷體"/>
                <w:szCs w:val="24"/>
              </w:rPr>
              <w:t xml:space="preserve"> (D1)</w:t>
            </w:r>
          </w:p>
        </w:tc>
      </w:tr>
      <w:tr w:rsidR="007F2737" w:rsidRPr="008D1BFE" w14:paraId="3922EC00" w14:textId="77777777" w:rsidTr="001D52B9">
        <w:trPr>
          <w:trHeight w:val="1114"/>
        </w:trPr>
        <w:tc>
          <w:tcPr>
            <w:tcW w:w="1536" w:type="dxa"/>
            <w:tcBorders>
              <w:right w:val="single" w:sz="12" w:space="0" w:color="auto"/>
            </w:tcBorders>
            <w:vAlign w:val="center"/>
          </w:tcPr>
          <w:p w14:paraId="2B44C42A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10:20-12:00</w:t>
            </w:r>
          </w:p>
        </w:tc>
        <w:tc>
          <w:tcPr>
            <w:tcW w:w="22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26514F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慢性病者運動注意</w:t>
            </w:r>
            <w:r>
              <w:rPr>
                <w:rFonts w:ascii="標楷體" w:eastAsia="標楷體" w:hAnsi="標楷體" w:hint="eastAsia"/>
                <w:szCs w:val="24"/>
              </w:rPr>
              <w:t>事</w:t>
            </w:r>
            <w:r w:rsidRPr="008D1BFE">
              <w:rPr>
                <w:rFonts w:ascii="標楷體" w:eastAsia="標楷體" w:hAnsi="標楷體" w:hint="eastAsia"/>
                <w:szCs w:val="24"/>
              </w:rPr>
              <w:t>項、緊急狀況處理</w:t>
            </w:r>
            <w:r>
              <w:rPr>
                <w:rFonts w:ascii="標楷體" w:eastAsia="標楷體" w:hAnsi="標楷體"/>
                <w:szCs w:val="24"/>
              </w:rPr>
              <w:t xml:space="preserve"> (F2)</w:t>
            </w:r>
          </w:p>
        </w:tc>
        <w:tc>
          <w:tcPr>
            <w:tcW w:w="2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9F334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老人衰弱及體適能評估及測試</w:t>
            </w:r>
            <w:r>
              <w:rPr>
                <w:rFonts w:ascii="標楷體" w:eastAsia="標楷體" w:hAnsi="標楷體"/>
                <w:szCs w:val="24"/>
              </w:rPr>
              <w:t xml:space="preserve"> (B)</w:t>
            </w:r>
          </w:p>
        </w:tc>
        <w:tc>
          <w:tcPr>
            <w:tcW w:w="2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C3F1E0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團隊增能技巧</w:t>
            </w:r>
            <w:r>
              <w:rPr>
                <w:rFonts w:ascii="標楷體" w:eastAsia="標楷體" w:hAnsi="標楷體"/>
                <w:szCs w:val="24"/>
              </w:rPr>
              <w:t xml:space="preserve"> (D2)</w:t>
            </w:r>
          </w:p>
        </w:tc>
      </w:tr>
      <w:tr w:rsidR="007F2737" w:rsidRPr="008D1BFE" w14:paraId="04498A2D" w14:textId="77777777" w:rsidTr="001D52B9">
        <w:trPr>
          <w:trHeight w:val="986"/>
        </w:trPr>
        <w:tc>
          <w:tcPr>
            <w:tcW w:w="1536" w:type="dxa"/>
            <w:tcBorders>
              <w:right w:val="single" w:sz="12" w:space="0" w:color="auto"/>
            </w:tcBorders>
            <w:vAlign w:val="center"/>
          </w:tcPr>
          <w:p w14:paraId="0BC49CBC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12:00-13:20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10BD9EE2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84FB9F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B5F374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午餐</w:t>
            </w:r>
          </w:p>
        </w:tc>
      </w:tr>
      <w:tr w:rsidR="007F2737" w:rsidRPr="008D1BFE" w14:paraId="398DA265" w14:textId="77777777" w:rsidTr="001D52B9">
        <w:trPr>
          <w:trHeight w:val="959"/>
        </w:trPr>
        <w:tc>
          <w:tcPr>
            <w:tcW w:w="1536" w:type="dxa"/>
            <w:tcBorders>
              <w:right w:val="single" w:sz="12" w:space="0" w:color="auto"/>
            </w:tcBorders>
            <w:vAlign w:val="center"/>
          </w:tcPr>
          <w:p w14:paraId="14469C71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13:20-15:00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73EC6873" w14:textId="77777777" w:rsidR="007F2737" w:rsidRPr="008D1BFE" w:rsidRDefault="007F2737" w:rsidP="00222F1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6FF5F8" w14:textId="77777777" w:rsidR="007F2737" w:rsidRPr="008D1BFE" w:rsidRDefault="007F2737" w:rsidP="00222F1C">
            <w:pPr>
              <w:jc w:val="both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老人運動醫學及運動傷害處理</w:t>
            </w:r>
            <w:r>
              <w:rPr>
                <w:rFonts w:ascii="標楷體" w:eastAsia="標楷體" w:hAnsi="標楷體"/>
                <w:szCs w:val="24"/>
              </w:rPr>
              <w:t xml:space="preserve"> (C1)</w:t>
            </w:r>
          </w:p>
        </w:tc>
        <w:tc>
          <w:tcPr>
            <w:tcW w:w="281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3BFE0B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高齡運動保健課程</w:t>
            </w:r>
            <w:r>
              <w:rPr>
                <w:rFonts w:ascii="標楷體" w:eastAsia="標楷體" w:hAnsi="標楷體"/>
                <w:szCs w:val="24"/>
              </w:rPr>
              <w:t xml:space="preserve"> (E)</w:t>
            </w:r>
          </w:p>
        </w:tc>
      </w:tr>
      <w:tr w:rsidR="007F2737" w:rsidRPr="008D1BFE" w14:paraId="4B67A560" w14:textId="77777777" w:rsidTr="001D52B9">
        <w:trPr>
          <w:trHeight w:val="973"/>
        </w:trPr>
        <w:tc>
          <w:tcPr>
            <w:tcW w:w="15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9BD197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15:20-17:00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39C4399D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318DF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運動安全</w:t>
            </w:r>
            <w:r>
              <w:rPr>
                <w:rFonts w:ascii="標楷體" w:eastAsia="標楷體" w:hAnsi="標楷體"/>
                <w:szCs w:val="24"/>
              </w:rPr>
              <w:t xml:space="preserve"> (C2)</w:t>
            </w:r>
          </w:p>
        </w:tc>
        <w:tc>
          <w:tcPr>
            <w:tcW w:w="2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DFEE0" w14:textId="77777777" w:rsidR="007F2737" w:rsidRPr="008D1BFE" w:rsidRDefault="007F2737" w:rsidP="00222F1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0436730" w14:textId="77777777" w:rsidR="007F2737" w:rsidRPr="000B0324" w:rsidRDefault="007F2737" w:rsidP="000B0324">
      <w:pPr>
        <w:pStyle w:val="a3"/>
        <w:snapToGrid w:val="0"/>
        <w:spacing w:line="500" w:lineRule="exact"/>
        <w:ind w:leftChars="0" w:left="1200"/>
        <w:jc w:val="both"/>
        <w:rPr>
          <w:rFonts w:ascii="標楷體" w:eastAsia="標楷體" w:hAnsi="標楷體"/>
          <w:sz w:val="28"/>
        </w:rPr>
      </w:pPr>
    </w:p>
    <w:p w14:paraId="26760933" w14:textId="6A51B330" w:rsidR="00B4169E" w:rsidRPr="008D1BFE" w:rsidRDefault="00B4169E" w:rsidP="00B4169E">
      <w:pPr>
        <w:pStyle w:val="a3"/>
        <w:numPr>
          <w:ilvl w:val="0"/>
          <w:numId w:val="5"/>
        </w:numPr>
        <w:snapToGrid w:val="0"/>
        <w:spacing w:line="500" w:lineRule="exact"/>
        <w:ind w:leftChars="0" w:left="709" w:hanging="709"/>
        <w:jc w:val="both"/>
        <w:rPr>
          <w:rFonts w:ascii="標楷體" w:eastAsia="標楷體" w:hAnsi="標楷體"/>
          <w:sz w:val="28"/>
        </w:rPr>
      </w:pPr>
      <w:r w:rsidRPr="008D1BFE">
        <w:rPr>
          <w:rFonts w:ascii="標楷體" w:eastAsia="標楷體" w:hAnsi="標楷體" w:hint="eastAsia"/>
          <w:sz w:val="28"/>
        </w:rPr>
        <w:lastRenderedPageBreak/>
        <w:t>經全程參加本計畫運動保健培訓相關課程，並完成考試通過者，將頒發結業證書，並</w:t>
      </w:r>
      <w:proofErr w:type="gramStart"/>
      <w:r w:rsidRPr="008D1BFE">
        <w:rPr>
          <w:rFonts w:ascii="標楷體" w:eastAsia="標楷體" w:hAnsi="標楷體" w:hint="eastAsia"/>
          <w:sz w:val="28"/>
        </w:rPr>
        <w:t>擔任本署</w:t>
      </w:r>
      <w:r w:rsidR="000B0324">
        <w:rPr>
          <w:rFonts w:ascii="標楷體" w:eastAsia="標楷體" w:hAnsi="標楷體" w:hint="eastAsia"/>
          <w:sz w:val="28"/>
        </w:rPr>
        <w:t>相關</w:t>
      </w:r>
      <w:proofErr w:type="gramEnd"/>
      <w:r w:rsidR="000B0324">
        <w:rPr>
          <w:rFonts w:ascii="標楷體" w:eastAsia="標楷體" w:hAnsi="標楷體" w:hint="eastAsia"/>
          <w:sz w:val="28"/>
        </w:rPr>
        <w:t>計畫</w:t>
      </w:r>
      <w:r w:rsidRPr="008D1BFE">
        <w:rPr>
          <w:rFonts w:ascii="標楷體" w:eastAsia="標楷體" w:hAnsi="標楷體" w:hint="eastAsia"/>
          <w:sz w:val="28"/>
        </w:rPr>
        <w:t>運動</w:t>
      </w:r>
      <w:r>
        <w:rPr>
          <w:rFonts w:ascii="標楷體" w:eastAsia="標楷體" w:hAnsi="標楷體" w:hint="eastAsia"/>
          <w:sz w:val="28"/>
        </w:rPr>
        <w:t>保健</w:t>
      </w:r>
      <w:r w:rsidRPr="008D1BFE">
        <w:rPr>
          <w:rFonts w:ascii="標楷體" w:eastAsia="標楷體" w:hAnsi="標楷體" w:hint="eastAsia"/>
          <w:sz w:val="28"/>
        </w:rPr>
        <w:t>師資。</w:t>
      </w:r>
    </w:p>
    <w:p w14:paraId="194BA8D8" w14:textId="77777777" w:rsidR="00B4169E" w:rsidRPr="008D1BFE" w:rsidRDefault="00B4169E" w:rsidP="00B4169E">
      <w:pPr>
        <w:pStyle w:val="a3"/>
        <w:numPr>
          <w:ilvl w:val="0"/>
          <w:numId w:val="5"/>
        </w:numPr>
        <w:snapToGrid w:val="0"/>
        <w:spacing w:line="500" w:lineRule="exact"/>
        <w:ind w:leftChars="0" w:left="709" w:hanging="709"/>
        <w:jc w:val="both"/>
        <w:rPr>
          <w:rFonts w:ascii="標楷體" w:eastAsia="標楷體" w:hAnsi="標楷體"/>
          <w:sz w:val="28"/>
        </w:rPr>
      </w:pPr>
      <w:r w:rsidRPr="008D1BFE">
        <w:rPr>
          <w:rFonts w:ascii="標楷體" w:eastAsia="標楷體" w:hAnsi="標楷體" w:hint="eastAsia"/>
          <w:sz w:val="28"/>
        </w:rPr>
        <w:t>課程內容規劃</w:t>
      </w:r>
      <w:r w:rsidRPr="008D1BFE">
        <w:rPr>
          <w:rFonts w:ascii="新細明體" w:eastAsia="新細明體" w:hAnsi="新細明體" w:hint="eastAsia"/>
          <w:sz w:val="28"/>
        </w:rPr>
        <w:t>：</w:t>
      </w:r>
    </w:p>
    <w:tbl>
      <w:tblPr>
        <w:tblStyle w:val="a4"/>
        <w:tblW w:w="10491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1295"/>
        <w:gridCol w:w="6502"/>
        <w:gridCol w:w="1985"/>
      </w:tblGrid>
      <w:tr w:rsidR="00B4169E" w:rsidRPr="008D1BFE" w14:paraId="76745625" w14:textId="77777777" w:rsidTr="000B0324">
        <w:trPr>
          <w:tblHeader/>
        </w:trPr>
        <w:tc>
          <w:tcPr>
            <w:tcW w:w="709" w:type="dxa"/>
            <w:vAlign w:val="center"/>
          </w:tcPr>
          <w:p w14:paraId="06992C9B" w14:textId="77777777" w:rsidR="00B4169E" w:rsidRPr="008D1BFE" w:rsidRDefault="00B4169E" w:rsidP="00E607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課程編號</w:t>
            </w:r>
          </w:p>
        </w:tc>
        <w:tc>
          <w:tcPr>
            <w:tcW w:w="1295" w:type="dxa"/>
            <w:vAlign w:val="center"/>
          </w:tcPr>
          <w:p w14:paraId="3D50EA62" w14:textId="77777777" w:rsidR="00B4169E" w:rsidRPr="008D1BFE" w:rsidRDefault="00B4169E" w:rsidP="00E607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6502" w:type="dxa"/>
            <w:vAlign w:val="center"/>
          </w:tcPr>
          <w:p w14:paraId="643C94A8" w14:textId="77777777" w:rsidR="00B4169E" w:rsidRPr="008D1BFE" w:rsidRDefault="00B4169E" w:rsidP="00E607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985" w:type="dxa"/>
            <w:vAlign w:val="center"/>
          </w:tcPr>
          <w:p w14:paraId="031FCFD2" w14:textId="5AC079A7" w:rsidR="00B4169E" w:rsidRPr="008D1BFE" w:rsidRDefault="000B0324" w:rsidP="00E607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課程召集人</w:t>
            </w:r>
          </w:p>
        </w:tc>
      </w:tr>
      <w:tr w:rsidR="00B4169E" w:rsidRPr="008D1BFE" w14:paraId="32EEB2FF" w14:textId="77777777" w:rsidTr="000B0324">
        <w:tc>
          <w:tcPr>
            <w:tcW w:w="709" w:type="dxa"/>
          </w:tcPr>
          <w:p w14:paraId="6819C5BF" w14:textId="77777777" w:rsidR="00B4169E" w:rsidRPr="008D1BFE" w:rsidRDefault="00B4169E" w:rsidP="00E607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A</w:t>
            </w:r>
          </w:p>
        </w:tc>
        <w:tc>
          <w:tcPr>
            <w:tcW w:w="1295" w:type="dxa"/>
          </w:tcPr>
          <w:p w14:paraId="3FC42E57" w14:textId="77777777" w:rsidR="00B4169E" w:rsidRPr="008D1BFE" w:rsidRDefault="00B4169E" w:rsidP="00E60706">
            <w:pPr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健康生活型態（2小時）</w:t>
            </w:r>
          </w:p>
        </w:tc>
        <w:tc>
          <w:tcPr>
            <w:tcW w:w="6502" w:type="dxa"/>
          </w:tcPr>
          <w:p w14:paraId="6432A668" w14:textId="77777777" w:rsidR="00B4169E" w:rsidRPr="008D1BFE" w:rsidRDefault="00B4169E" w:rsidP="00E60706">
            <w:pPr>
              <w:tabs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由「什麼是健康生活型態」及「如何建立健康生活型態」兩個層次講授高齡者健康生活型態之重要性，課程包括：</w:t>
            </w:r>
          </w:p>
          <w:p w14:paraId="0626C5B7" w14:textId="77777777" w:rsidR="00B4169E" w:rsidRPr="008D1BFE" w:rsidRDefault="00B4169E" w:rsidP="00E60706">
            <w:pPr>
              <w:tabs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1.什麼是健康生活型態：面對高齡化社會，慢性非傳染病及失智、失能等問題，對國人健康及政府財政造成相當大的威脅，本課程將介紹口腔、營養、戒菸、認知、社交、</w:t>
            </w:r>
            <w:proofErr w:type="gramStart"/>
            <w:r w:rsidRPr="008D1BFE">
              <w:rPr>
                <w:rFonts w:ascii="標楷體" w:eastAsia="標楷體" w:hAnsi="標楷體" w:hint="eastAsia"/>
                <w:szCs w:val="24"/>
              </w:rPr>
              <w:t>防跌</w:t>
            </w:r>
            <w:proofErr w:type="gramEnd"/>
            <w:r w:rsidRPr="008D1BFE">
              <w:rPr>
                <w:rFonts w:ascii="標楷體" w:eastAsia="標楷體" w:hAnsi="標楷體" w:hint="eastAsia"/>
                <w:szCs w:val="24"/>
              </w:rPr>
              <w:t>、正確用藥、健檢等內容，以及遠離菸酒、檳榔使用之健康生活型態，另外則將依照高齡者生理特性給予可落實之日常生活建議。</w:t>
            </w:r>
          </w:p>
          <w:p w14:paraId="187BC078" w14:textId="77777777" w:rsidR="00B4169E" w:rsidRPr="008D1BFE" w:rsidRDefault="00B4169E" w:rsidP="00E60706">
            <w:pPr>
              <w:tabs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2.如何建立健康生活型態：從行為改變之角度出發，教導如何辨別學員之行為改變時期(意圖前期、意圖期、準備期、行動期、維持期)，結合3個月課程內容，給予不同方式之指導，以加強動機建立；另外提供國民</w:t>
            </w:r>
            <w:proofErr w:type="gramStart"/>
            <w:r w:rsidRPr="008D1BFE">
              <w:rPr>
                <w:rFonts w:ascii="標楷體" w:eastAsia="標楷體" w:hAnsi="標楷體" w:hint="eastAsia"/>
                <w:szCs w:val="24"/>
              </w:rPr>
              <w:t>健康署</w:t>
            </w:r>
            <w:proofErr w:type="gramEnd"/>
            <w:r w:rsidRPr="008D1BFE">
              <w:rPr>
                <w:rFonts w:ascii="標楷體" w:eastAsia="標楷體" w:hAnsi="標楷體" w:hint="eastAsia"/>
                <w:szCs w:val="24"/>
              </w:rPr>
              <w:t>相關衛教資源，後續可提供予各需要之社區長者。</w:t>
            </w:r>
          </w:p>
          <w:p w14:paraId="5E937DE7" w14:textId="77777777" w:rsidR="00B4169E" w:rsidRPr="008D1BFE" w:rsidRDefault="00B4169E" w:rsidP="00E60706">
            <w:pPr>
              <w:tabs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3.支持性環境與健康行為之關聯，介紹健康社區環境營造、安全社區、健康城市及高齡友善城市等概念。</w:t>
            </w:r>
          </w:p>
          <w:p w14:paraId="5B51FD9A" w14:textId="77777777" w:rsidR="00B4169E" w:rsidRPr="008D1BFE" w:rsidRDefault="00B4169E" w:rsidP="00E60706">
            <w:pPr>
              <w:tabs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4.相關單位之資源，地方政府發展之</w:t>
            </w:r>
            <w:proofErr w:type="gramStart"/>
            <w:r w:rsidRPr="008D1BFE">
              <w:rPr>
                <w:rFonts w:ascii="標楷體" w:eastAsia="標楷體" w:hAnsi="標楷體" w:hint="eastAsia"/>
                <w:szCs w:val="24"/>
              </w:rPr>
              <w:t>防跌操、健口操等</w:t>
            </w:r>
            <w:proofErr w:type="gramEnd"/>
            <w:r w:rsidRPr="008D1BFE">
              <w:rPr>
                <w:rFonts w:ascii="標楷體" w:eastAsia="標楷體" w:hAnsi="標楷體" w:hint="eastAsia"/>
                <w:szCs w:val="24"/>
              </w:rPr>
              <w:t>資源。</w:t>
            </w:r>
          </w:p>
        </w:tc>
        <w:tc>
          <w:tcPr>
            <w:tcW w:w="1985" w:type="dxa"/>
          </w:tcPr>
          <w:p w14:paraId="6408CD9A" w14:textId="77777777" w:rsidR="00B4169E" w:rsidRPr="00ED52D6" w:rsidRDefault="00B4169E" w:rsidP="00E60706">
            <w:pPr>
              <w:rPr>
                <w:rFonts w:ascii="新細明體" w:eastAsia="新細明體" w:hAnsi="新細明體"/>
                <w:b/>
                <w:szCs w:val="24"/>
              </w:rPr>
            </w:pPr>
            <w:r w:rsidRPr="00ED52D6">
              <w:rPr>
                <w:rFonts w:ascii="標楷體" w:eastAsia="標楷體" w:hAnsi="標楷體" w:hint="eastAsia"/>
                <w:b/>
                <w:szCs w:val="24"/>
              </w:rPr>
              <w:t>課程召集人</w:t>
            </w:r>
            <w:r w:rsidRPr="00ED52D6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  <w:p w14:paraId="6E183D25" w14:textId="63A785C9" w:rsidR="00B4169E" w:rsidRPr="000B0324" w:rsidRDefault="00B4169E" w:rsidP="000B0324">
            <w:pPr>
              <w:rPr>
                <w:rFonts w:ascii="新細明體" w:eastAsia="新細明體" w:hAnsi="新細明體"/>
                <w:b/>
                <w:szCs w:val="24"/>
              </w:rPr>
            </w:pPr>
            <w:r w:rsidRPr="004C09CE">
              <w:rPr>
                <w:rFonts w:ascii="標楷體" w:eastAsia="標楷體" w:hAnsi="標楷體" w:hint="eastAsia"/>
                <w:b/>
                <w:szCs w:val="24"/>
              </w:rPr>
              <w:t>林金定 教授(國防醫學院公共衛生學系)</w:t>
            </w:r>
          </w:p>
        </w:tc>
      </w:tr>
      <w:tr w:rsidR="00B4169E" w:rsidRPr="008D1BFE" w14:paraId="148F2C8C" w14:textId="77777777" w:rsidTr="000B0324">
        <w:trPr>
          <w:trHeight w:val="2496"/>
        </w:trPr>
        <w:tc>
          <w:tcPr>
            <w:tcW w:w="709" w:type="dxa"/>
          </w:tcPr>
          <w:p w14:paraId="0A55B289" w14:textId="77777777" w:rsidR="00B4169E" w:rsidRPr="008D1BFE" w:rsidRDefault="00B4169E" w:rsidP="00E607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/>
                <w:szCs w:val="24"/>
              </w:rPr>
              <w:t>B</w:t>
            </w:r>
          </w:p>
        </w:tc>
        <w:tc>
          <w:tcPr>
            <w:tcW w:w="1295" w:type="dxa"/>
          </w:tcPr>
          <w:p w14:paraId="14AEF9B4" w14:textId="77777777" w:rsidR="00B4169E" w:rsidRPr="008D1BFE" w:rsidRDefault="00B4169E" w:rsidP="00E60706">
            <w:pPr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老人衰弱及體適能評估及測試（2小時）</w:t>
            </w:r>
          </w:p>
        </w:tc>
        <w:tc>
          <w:tcPr>
            <w:tcW w:w="6502" w:type="dxa"/>
          </w:tcPr>
          <w:p w14:paraId="17AE3041" w14:textId="77777777" w:rsidR="00B4169E" w:rsidRPr="008D1BFE" w:rsidRDefault="00B4169E" w:rsidP="00E6070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8D1BFE">
              <w:rPr>
                <w:rFonts w:ascii="標楷體" w:eastAsia="標楷體" w:hAnsi="標楷體" w:hint="eastAsia"/>
                <w:szCs w:val="24"/>
              </w:rPr>
              <w:t>老人衰弱評估：「</w:t>
            </w:r>
            <w:r>
              <w:rPr>
                <w:rFonts w:ascii="標楷體" w:eastAsia="標楷體" w:hAnsi="標楷體" w:hint="eastAsia"/>
                <w:szCs w:val="24"/>
              </w:rPr>
              <w:t>106</w:t>
            </w:r>
            <w:r w:rsidRPr="008D1BFE">
              <w:rPr>
                <w:rFonts w:ascii="標楷體" w:eastAsia="標楷體" w:hAnsi="標楷體" w:hint="eastAsia"/>
                <w:szCs w:val="24"/>
              </w:rPr>
              <w:t>長者衰弱評估表」瞭解長照2.0核定之衰弱操作型定義及運用長者衰弱評估表。</w:t>
            </w:r>
          </w:p>
          <w:p w14:paraId="107DFA7E" w14:textId="77777777" w:rsidR="00B4169E" w:rsidRPr="008D1BFE" w:rsidRDefault="00B4169E" w:rsidP="00E60706">
            <w:pPr>
              <w:tabs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8D1BFE">
              <w:rPr>
                <w:rFonts w:ascii="標楷體" w:eastAsia="標楷體" w:hAnsi="標楷體" w:hint="eastAsia"/>
                <w:szCs w:val="24"/>
              </w:rPr>
              <w:t>老人體適能評估及測試：依據教育部體育署「國民體適能檢測辦法」，訂定65歲以上民眾體適能檢測項目，包括身體組成、肌力及肌耐力、柔軟度、心肺耐力、平衡力等要項，故本課程係依前述辦法之規定，介紹各要項之檢測實施方式及注意事項，以增加學員實際操作之知、技能。</w:t>
            </w:r>
          </w:p>
        </w:tc>
        <w:tc>
          <w:tcPr>
            <w:tcW w:w="1985" w:type="dxa"/>
          </w:tcPr>
          <w:p w14:paraId="787FCDC9" w14:textId="77777777" w:rsidR="00B4169E" w:rsidRDefault="00B4169E" w:rsidP="00E60706">
            <w:pPr>
              <w:rPr>
                <w:rFonts w:ascii="新細明體" w:eastAsia="新細明體" w:hAnsi="新細明體"/>
                <w:szCs w:val="24"/>
              </w:rPr>
            </w:pPr>
            <w:r w:rsidRPr="00ED52D6">
              <w:rPr>
                <w:rFonts w:ascii="標楷體" w:eastAsia="標楷體" w:hAnsi="標楷體" w:hint="eastAsia"/>
                <w:b/>
                <w:szCs w:val="24"/>
              </w:rPr>
              <w:t>課程召集人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</w:p>
          <w:p w14:paraId="44CA00D8" w14:textId="1BE16D96" w:rsidR="00B4169E" w:rsidRPr="000B0324" w:rsidRDefault="00B4169E" w:rsidP="000B0324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C09C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楊雅如 教授（陽明大學物理治療學系）</w:t>
            </w:r>
          </w:p>
        </w:tc>
      </w:tr>
      <w:tr w:rsidR="00B4169E" w:rsidRPr="008D1BFE" w14:paraId="2E079D0D" w14:textId="77777777" w:rsidTr="000B0324">
        <w:tc>
          <w:tcPr>
            <w:tcW w:w="709" w:type="dxa"/>
          </w:tcPr>
          <w:p w14:paraId="53ACB4AD" w14:textId="77777777" w:rsidR="00B4169E" w:rsidRPr="008D1BFE" w:rsidRDefault="00B4169E" w:rsidP="00E607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C1</w:t>
            </w:r>
          </w:p>
        </w:tc>
        <w:tc>
          <w:tcPr>
            <w:tcW w:w="1295" w:type="dxa"/>
          </w:tcPr>
          <w:p w14:paraId="239C2512" w14:textId="77777777" w:rsidR="00B4169E" w:rsidRPr="008D1BFE" w:rsidRDefault="00B4169E" w:rsidP="00E60706">
            <w:pPr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老人運動醫學及運動傷害處理（2小時）</w:t>
            </w:r>
          </w:p>
        </w:tc>
        <w:tc>
          <w:tcPr>
            <w:tcW w:w="6502" w:type="dxa"/>
          </w:tcPr>
          <w:p w14:paraId="3846DD4F" w14:textId="77777777" w:rsidR="00B4169E" w:rsidRPr="008D1BFE" w:rsidRDefault="00B4169E" w:rsidP="00E60706">
            <w:pPr>
              <w:tabs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老人運動醫學：由基本運動醫學開始，並針對長者之生理狀況，進行相關生理學、</w:t>
            </w:r>
            <w:proofErr w:type="gramStart"/>
            <w:r w:rsidRPr="008D1BFE">
              <w:rPr>
                <w:rFonts w:ascii="標楷體" w:eastAsia="標楷體" w:hAnsi="標楷體" w:hint="eastAsia"/>
                <w:szCs w:val="24"/>
              </w:rPr>
              <w:t>肌動學</w:t>
            </w:r>
            <w:proofErr w:type="gramEnd"/>
            <w:r w:rsidRPr="008D1BFE">
              <w:rPr>
                <w:rFonts w:ascii="標楷體" w:eastAsia="標楷體" w:hAnsi="標楷體" w:hint="eastAsia"/>
                <w:szCs w:val="24"/>
              </w:rPr>
              <w:t>、解剖學、骨科學、外科學、急救醫學、生物力學、流行病學、心理學、營養、生化與藥理等知識之介紹，以加強學員對於長者運動生理及傷害預防之知能；並簡要介紹運動與慢性病、</w:t>
            </w:r>
            <w:proofErr w:type="gramStart"/>
            <w:r w:rsidRPr="008D1BFE">
              <w:rPr>
                <w:rFonts w:ascii="標楷體" w:eastAsia="標楷體" w:hAnsi="標楷體" w:hint="eastAsia"/>
                <w:szCs w:val="24"/>
              </w:rPr>
              <w:t>肌少症</w:t>
            </w:r>
            <w:proofErr w:type="gramEnd"/>
            <w:r w:rsidRPr="008D1BFE">
              <w:rPr>
                <w:rFonts w:ascii="標楷體" w:eastAsia="標楷體" w:hAnsi="標楷體" w:hint="eastAsia"/>
                <w:szCs w:val="24"/>
              </w:rPr>
              <w:t>、衰弱等關聯性。</w:t>
            </w:r>
          </w:p>
          <w:p w14:paraId="11A4FB44" w14:textId="77777777" w:rsidR="00B4169E" w:rsidRPr="008D1BFE" w:rsidRDefault="00B4169E" w:rsidP="00E60706">
            <w:pPr>
              <w:tabs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運動傷害處理：基本運動創傷的成因、治療及預防，並根據高齡者之特殊身體狀況，針對容易發生之運動傷害成因及預防方式進行說明，另解說各個主要部位及重要器官之運動傷害處置，包括頭部、眼睛、胸腹、上肢、下肢及脊椎等。</w:t>
            </w:r>
          </w:p>
        </w:tc>
        <w:tc>
          <w:tcPr>
            <w:tcW w:w="1985" w:type="dxa"/>
          </w:tcPr>
          <w:p w14:paraId="01F31FF7" w14:textId="77777777" w:rsidR="00B4169E" w:rsidRPr="00ED52D6" w:rsidRDefault="00B4169E" w:rsidP="00E60706">
            <w:pPr>
              <w:rPr>
                <w:rFonts w:ascii="標楷體" w:eastAsia="標楷體" w:hAnsi="標楷體"/>
                <w:b/>
                <w:szCs w:val="24"/>
              </w:rPr>
            </w:pPr>
            <w:r w:rsidRPr="00ED52D6">
              <w:rPr>
                <w:rFonts w:ascii="標楷體" w:eastAsia="標楷體" w:hAnsi="標楷體" w:hint="eastAsia"/>
                <w:b/>
                <w:szCs w:val="24"/>
              </w:rPr>
              <w:t>課程召集人</w:t>
            </w:r>
            <w:r w:rsidRPr="00ED52D6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  <w:p w14:paraId="390FCBBB" w14:textId="0E690AB1" w:rsidR="00B4169E" w:rsidRPr="008D1BFE" w:rsidRDefault="00B4169E" w:rsidP="000B0324">
            <w:pPr>
              <w:rPr>
                <w:rFonts w:ascii="標楷體" w:eastAsia="標楷體" w:hAnsi="標楷體"/>
                <w:szCs w:val="24"/>
              </w:rPr>
            </w:pPr>
            <w:r w:rsidRPr="00ED52D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陳思遠 醫師（台大醫院復健科）</w:t>
            </w:r>
          </w:p>
        </w:tc>
      </w:tr>
      <w:tr w:rsidR="00B4169E" w:rsidRPr="008D1BFE" w14:paraId="1D30BE46" w14:textId="77777777" w:rsidTr="000B0324">
        <w:tc>
          <w:tcPr>
            <w:tcW w:w="709" w:type="dxa"/>
          </w:tcPr>
          <w:p w14:paraId="7520C693" w14:textId="77777777" w:rsidR="00B4169E" w:rsidRPr="008D1BFE" w:rsidRDefault="00B4169E" w:rsidP="00E607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lastRenderedPageBreak/>
              <w:t>C2</w:t>
            </w:r>
          </w:p>
        </w:tc>
        <w:tc>
          <w:tcPr>
            <w:tcW w:w="1295" w:type="dxa"/>
          </w:tcPr>
          <w:p w14:paraId="056EE0DA" w14:textId="77777777" w:rsidR="00B4169E" w:rsidRPr="008D1BFE" w:rsidRDefault="00B4169E" w:rsidP="00E60706">
            <w:pPr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運動安全（2小時）</w:t>
            </w:r>
          </w:p>
        </w:tc>
        <w:tc>
          <w:tcPr>
            <w:tcW w:w="6502" w:type="dxa"/>
          </w:tcPr>
          <w:p w14:paraId="09B4D0F5" w14:textId="77777777" w:rsidR="00B4169E" w:rsidRPr="008D1BFE" w:rsidRDefault="00B4169E" w:rsidP="00E60706">
            <w:pPr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為了防範高齡者在運動時發生事故的風險，學員將學習到在運動前可透過簡單問卷</w:t>
            </w:r>
            <w:proofErr w:type="gramStart"/>
            <w:r w:rsidRPr="008D1BFE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8D1BFE">
              <w:rPr>
                <w:rFonts w:ascii="標楷體" w:eastAsia="標楷體" w:hAnsi="標楷體" w:hint="eastAsia"/>
                <w:szCs w:val="24"/>
              </w:rPr>
              <w:t>如：PAR-</w:t>
            </w:r>
            <w:r w:rsidRPr="008D1BFE">
              <w:rPr>
                <w:rFonts w:ascii="標楷體" w:eastAsia="標楷體" w:hAnsi="標楷體"/>
                <w:szCs w:val="24"/>
              </w:rPr>
              <w:t>Q</w:t>
            </w:r>
            <w:r w:rsidRPr="008D1BFE">
              <w:rPr>
                <w:rFonts w:ascii="標楷體" w:eastAsia="標楷體" w:hAnsi="標楷體" w:hint="eastAsia"/>
                <w:szCs w:val="24"/>
              </w:rPr>
              <w:t>問卷、日常生活活動功能量表</w:t>
            </w:r>
            <w:proofErr w:type="gramStart"/>
            <w:r w:rsidRPr="008D1BFE">
              <w:rPr>
                <w:rFonts w:ascii="標楷體" w:eastAsia="標楷體" w:hAnsi="標楷體"/>
                <w:szCs w:val="24"/>
              </w:rPr>
              <w:t>）</w:t>
            </w:r>
            <w:proofErr w:type="gramEnd"/>
            <w:r w:rsidRPr="008D1BFE">
              <w:rPr>
                <w:rFonts w:ascii="標楷體" w:eastAsia="標楷體" w:hAnsi="標楷體" w:hint="eastAsia"/>
                <w:szCs w:val="24"/>
              </w:rPr>
              <w:t>篩檢，以及身高、體重、血壓、心跳、腰圍、運動習慣、跌倒問題與疾病史等簡單又快速篩檢的執行要點。</w:t>
            </w:r>
          </w:p>
        </w:tc>
        <w:tc>
          <w:tcPr>
            <w:tcW w:w="1985" w:type="dxa"/>
          </w:tcPr>
          <w:p w14:paraId="182BC683" w14:textId="77777777" w:rsidR="00B4169E" w:rsidRPr="00ED52D6" w:rsidRDefault="00B4169E" w:rsidP="00E60706">
            <w:pPr>
              <w:rPr>
                <w:rFonts w:ascii="標楷體" w:eastAsia="標楷體" w:hAnsi="標楷體"/>
                <w:b/>
                <w:szCs w:val="24"/>
              </w:rPr>
            </w:pPr>
            <w:r w:rsidRPr="00ED52D6">
              <w:rPr>
                <w:rFonts w:ascii="標楷體" w:eastAsia="標楷體" w:hAnsi="標楷體" w:hint="eastAsia"/>
                <w:b/>
                <w:szCs w:val="24"/>
              </w:rPr>
              <w:t>課程召集人</w:t>
            </w:r>
          </w:p>
          <w:p w14:paraId="02129026" w14:textId="78B68140" w:rsidR="00B4169E" w:rsidRPr="008D1BFE" w:rsidRDefault="00B4169E" w:rsidP="000B0324">
            <w:pPr>
              <w:rPr>
                <w:rFonts w:ascii="標楷體" w:eastAsia="標楷體" w:hAnsi="標楷體"/>
                <w:szCs w:val="24"/>
              </w:rPr>
            </w:pPr>
            <w:r w:rsidRPr="00ED52D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曾國維 教授（臺北市立大學運動健康科學系）</w:t>
            </w:r>
          </w:p>
        </w:tc>
      </w:tr>
      <w:tr w:rsidR="00B4169E" w:rsidRPr="008D1BFE" w14:paraId="697A93C6" w14:textId="77777777" w:rsidTr="000B0324">
        <w:tc>
          <w:tcPr>
            <w:tcW w:w="709" w:type="dxa"/>
          </w:tcPr>
          <w:p w14:paraId="72004D4F" w14:textId="77777777" w:rsidR="00B4169E" w:rsidRPr="008D1BFE" w:rsidRDefault="00B4169E" w:rsidP="00E607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D1</w:t>
            </w:r>
          </w:p>
        </w:tc>
        <w:tc>
          <w:tcPr>
            <w:tcW w:w="1295" w:type="dxa"/>
          </w:tcPr>
          <w:p w14:paraId="10A2C44A" w14:textId="77777777" w:rsidR="00B4169E" w:rsidRPr="008D1BFE" w:rsidRDefault="00B4169E" w:rsidP="00E60706">
            <w:pPr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老人運動心理學和溝通（2小時）</w:t>
            </w:r>
          </w:p>
        </w:tc>
        <w:tc>
          <w:tcPr>
            <w:tcW w:w="6502" w:type="dxa"/>
          </w:tcPr>
          <w:p w14:paraId="4F5116A2" w14:textId="77777777" w:rsidR="00B4169E" w:rsidRPr="008D1BFE" w:rsidRDefault="00B4169E" w:rsidP="00E60706">
            <w:pPr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以運動心理學基礎出發，闡述老人運動的心理歷程與行為，以及運動對於老人心理健康的益處；另外提供與不同性別、不同年齡(65歲以上、70歲以上、80歲以上)以及健康狀況老人之溝通技巧及簡要情境模擬。</w:t>
            </w:r>
          </w:p>
        </w:tc>
        <w:tc>
          <w:tcPr>
            <w:tcW w:w="1985" w:type="dxa"/>
          </w:tcPr>
          <w:p w14:paraId="4BE3952B" w14:textId="77777777" w:rsidR="00B4169E" w:rsidRPr="00ED52D6" w:rsidRDefault="00B4169E" w:rsidP="00E60706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52D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課程召集人</w:t>
            </w:r>
          </w:p>
          <w:p w14:paraId="2789B892" w14:textId="1B6A1BCB" w:rsidR="00B4169E" w:rsidRPr="00040505" w:rsidRDefault="00B4169E" w:rsidP="000B0324">
            <w:pPr>
              <w:rPr>
                <w:rFonts w:ascii="標楷體" w:eastAsia="標楷體" w:hAnsi="標楷體"/>
                <w:szCs w:val="24"/>
              </w:rPr>
            </w:pPr>
            <w:r w:rsidRPr="00ED52D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沈明德 職能治療師（國泰醫院</w:t>
            </w:r>
            <w:r w:rsidRPr="000548F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職能治療師</w:t>
            </w:r>
            <w:r w:rsidRPr="00ED52D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）</w:t>
            </w:r>
          </w:p>
        </w:tc>
      </w:tr>
      <w:tr w:rsidR="00B4169E" w:rsidRPr="008D1BFE" w14:paraId="47E01760" w14:textId="77777777" w:rsidTr="000B0324">
        <w:tc>
          <w:tcPr>
            <w:tcW w:w="709" w:type="dxa"/>
          </w:tcPr>
          <w:p w14:paraId="1E8411DC" w14:textId="77777777" w:rsidR="00B4169E" w:rsidRPr="008D1BFE" w:rsidRDefault="00B4169E" w:rsidP="00E607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D2</w:t>
            </w:r>
          </w:p>
        </w:tc>
        <w:tc>
          <w:tcPr>
            <w:tcW w:w="1295" w:type="dxa"/>
          </w:tcPr>
          <w:p w14:paraId="4BADF339" w14:textId="77777777" w:rsidR="00B4169E" w:rsidRPr="008D1BFE" w:rsidRDefault="00B4169E" w:rsidP="00E60706">
            <w:pPr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團隊增能技巧（2小時）</w:t>
            </w:r>
          </w:p>
        </w:tc>
        <w:tc>
          <w:tcPr>
            <w:tcW w:w="6502" w:type="dxa"/>
          </w:tcPr>
          <w:p w14:paraId="6B58A46D" w14:textId="77777777" w:rsidR="00B4169E" w:rsidRPr="008D1BFE" w:rsidRDefault="00B4169E" w:rsidP="00E60706">
            <w:pPr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透過趣味化體育教學的三個重要教學意義：追求運動內在價值、以遊戲論點出發、以及沒有挫敗感受的教學，讓學員</w:t>
            </w:r>
            <w:proofErr w:type="gramStart"/>
            <w:r w:rsidRPr="008D1BFE">
              <w:rPr>
                <w:rFonts w:ascii="標楷體" w:eastAsia="標楷體" w:hAnsi="標楷體" w:hint="eastAsia"/>
                <w:szCs w:val="24"/>
              </w:rPr>
              <w:t>暸</w:t>
            </w:r>
            <w:proofErr w:type="gramEnd"/>
            <w:r w:rsidRPr="008D1BFE">
              <w:rPr>
                <w:rFonts w:ascii="標楷體" w:eastAsia="標楷體" w:hAnsi="標楷體" w:hint="eastAsia"/>
                <w:szCs w:val="24"/>
              </w:rPr>
              <w:t>解以『運動樂趣』為設計元素的教學策略，希望藉此提升高齡者的學習效果。學員也可學習到在教學設計中如何導入創意、創新理念，有效</w:t>
            </w:r>
            <w:r w:rsidRPr="008D1BFE">
              <w:rPr>
                <w:rFonts w:eastAsia="標楷體"/>
              </w:rPr>
              <w:t>激發</w:t>
            </w:r>
            <w:r w:rsidRPr="008D1BFE">
              <w:rPr>
                <w:rFonts w:eastAsia="標楷體" w:hint="eastAsia"/>
              </w:rPr>
              <w:t>高齡者再</w:t>
            </w:r>
            <w:r w:rsidRPr="008D1BFE">
              <w:rPr>
                <w:rFonts w:eastAsia="標楷體"/>
              </w:rPr>
              <w:t>創造力</w:t>
            </w:r>
            <w:r w:rsidRPr="008D1BFE">
              <w:rPr>
                <w:rFonts w:eastAsia="標楷體" w:hint="eastAsia"/>
              </w:rPr>
              <w:t>與</w:t>
            </w:r>
            <w:r w:rsidRPr="008D1BFE">
              <w:rPr>
                <w:rFonts w:eastAsia="標楷體"/>
              </w:rPr>
              <w:t>思考</w:t>
            </w:r>
            <w:r w:rsidRPr="008D1BFE">
              <w:rPr>
                <w:rFonts w:eastAsia="標楷體" w:hint="eastAsia"/>
              </w:rPr>
              <w:t>，</w:t>
            </w:r>
            <w:r w:rsidRPr="008D1BFE">
              <w:rPr>
                <w:rFonts w:ascii="標楷體" w:eastAsia="標楷體" w:hAnsi="標楷體" w:hint="eastAsia"/>
                <w:szCs w:val="24"/>
              </w:rPr>
              <w:t>學習團隊授課技巧以增進高齡者的興趣、積極度以及同儕合作、競爭之下提高身體活動的效益。</w:t>
            </w:r>
          </w:p>
        </w:tc>
        <w:tc>
          <w:tcPr>
            <w:tcW w:w="1985" w:type="dxa"/>
          </w:tcPr>
          <w:p w14:paraId="700311F1" w14:textId="77777777" w:rsidR="00B4169E" w:rsidRPr="00ED52D6" w:rsidRDefault="00B4169E" w:rsidP="00E60706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52D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課程召集人</w:t>
            </w:r>
          </w:p>
          <w:p w14:paraId="08A89EC8" w14:textId="32723D4E" w:rsidR="00B4169E" w:rsidRPr="008D1BFE" w:rsidRDefault="00B4169E" w:rsidP="000B0324">
            <w:pPr>
              <w:rPr>
                <w:rFonts w:ascii="標楷體" w:eastAsia="標楷體" w:hAnsi="標楷體"/>
                <w:szCs w:val="24"/>
              </w:rPr>
            </w:pPr>
            <w:r w:rsidRPr="00ED52D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周建智 教授（臺北市立大學運動教育研究所）</w:t>
            </w:r>
          </w:p>
        </w:tc>
      </w:tr>
      <w:tr w:rsidR="00B4169E" w:rsidRPr="008D1BFE" w14:paraId="3EB557AC" w14:textId="77777777" w:rsidTr="000B0324">
        <w:tc>
          <w:tcPr>
            <w:tcW w:w="709" w:type="dxa"/>
          </w:tcPr>
          <w:p w14:paraId="7AEDAAF8" w14:textId="77777777" w:rsidR="00B4169E" w:rsidRPr="008D1BFE" w:rsidRDefault="00B4169E" w:rsidP="00E607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E</w:t>
            </w:r>
          </w:p>
        </w:tc>
        <w:tc>
          <w:tcPr>
            <w:tcW w:w="1295" w:type="dxa"/>
          </w:tcPr>
          <w:p w14:paraId="0AC4D7EB" w14:textId="77777777" w:rsidR="00B4169E" w:rsidRPr="008D1BFE" w:rsidRDefault="00B4169E" w:rsidP="00E60706">
            <w:pPr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高齡運動保健課程（4小時）</w:t>
            </w:r>
          </w:p>
        </w:tc>
        <w:tc>
          <w:tcPr>
            <w:tcW w:w="6502" w:type="dxa"/>
          </w:tcPr>
          <w:p w14:paraId="3C9C1489" w14:textId="77777777" w:rsidR="00B4169E" w:rsidRPr="008D1BFE" w:rsidRDefault="00B4169E" w:rsidP="00E6070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以65歲以上衰弱前期長者為對象</w:t>
            </w:r>
            <w:r w:rsidRPr="008D1BFE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運用本署105年</w:t>
            </w:r>
            <w:proofErr w:type="gramEnd"/>
            <w:r w:rsidRPr="003C7F77">
              <w:rPr>
                <w:rFonts w:ascii="標楷體" w:eastAsia="標楷體" w:hAnsi="標楷體" w:hint="eastAsia"/>
                <w:szCs w:val="24"/>
              </w:rPr>
              <w:t>「發展不同行動功能高齡者之運動模式」計畫</w:t>
            </w:r>
            <w:r>
              <w:rPr>
                <w:rFonts w:ascii="標楷體" w:eastAsia="標楷體" w:hAnsi="標楷體" w:hint="eastAsia"/>
                <w:szCs w:val="24"/>
              </w:rPr>
              <w:t>成果，</w:t>
            </w:r>
            <w:r w:rsidRPr="008D1BFE">
              <w:rPr>
                <w:rFonts w:ascii="標楷體" w:eastAsia="標楷體" w:hAnsi="標楷體" w:hint="eastAsia"/>
                <w:szCs w:val="24"/>
              </w:rPr>
              <w:t>綜合運用運動前評估結果、體適能測驗結果及疾病史等健康狀況資訊</w:t>
            </w:r>
            <w:r>
              <w:rPr>
                <w:rFonts w:ascii="標楷體" w:eastAsia="標楷體" w:hAnsi="標楷體" w:hint="eastAsia"/>
                <w:szCs w:val="24"/>
              </w:rPr>
              <w:t>，給予</w:t>
            </w:r>
            <w:r w:rsidRPr="008D1BFE">
              <w:rPr>
                <w:rFonts w:ascii="標楷體" w:eastAsia="標楷體" w:hAnsi="標楷體" w:hint="eastAsia"/>
                <w:szCs w:val="24"/>
              </w:rPr>
              <w:t>老人</w:t>
            </w:r>
            <w:r w:rsidRPr="003C7F77">
              <w:rPr>
                <w:rFonts w:ascii="標楷體" w:eastAsia="標楷體" w:hAnsi="標楷體" w:hint="eastAsia"/>
                <w:szCs w:val="24"/>
              </w:rPr>
              <w:t>每週2小時，為期3個月，共計24小時</w:t>
            </w:r>
            <w:r w:rsidRPr="008D1BFE">
              <w:rPr>
                <w:rFonts w:ascii="標楷體" w:eastAsia="標楷體" w:hAnsi="標楷體" w:hint="eastAsia"/>
                <w:szCs w:val="24"/>
              </w:rPr>
              <w:t>運動</w:t>
            </w:r>
            <w:r>
              <w:rPr>
                <w:rFonts w:ascii="標楷體" w:eastAsia="標楷體" w:hAnsi="標楷體" w:hint="eastAsia"/>
                <w:szCs w:val="24"/>
              </w:rPr>
              <w:t>介入</w:t>
            </w:r>
            <w:r w:rsidRPr="008D1BFE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Pr="008D1BFE">
              <w:rPr>
                <w:rFonts w:ascii="標楷體" w:eastAsia="標楷體" w:hAnsi="標楷體" w:hint="eastAsia"/>
                <w:szCs w:val="24"/>
              </w:rPr>
              <w:t>提升心肺耐力、柔軟度、肌力及肌耐力、平衡能力等各項體適能要項。</w:t>
            </w:r>
          </w:p>
        </w:tc>
        <w:tc>
          <w:tcPr>
            <w:tcW w:w="1985" w:type="dxa"/>
          </w:tcPr>
          <w:p w14:paraId="6E134894" w14:textId="77777777" w:rsidR="00B4169E" w:rsidRPr="00ED52D6" w:rsidRDefault="00B4169E" w:rsidP="00E60706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52D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課程召集人</w:t>
            </w:r>
          </w:p>
          <w:p w14:paraId="7A197BF5" w14:textId="26FC5EF1" w:rsidR="00B4169E" w:rsidRPr="008D1BFE" w:rsidRDefault="00B4169E" w:rsidP="000B0324">
            <w:pPr>
              <w:rPr>
                <w:rFonts w:ascii="標楷體" w:eastAsia="標楷體" w:hAnsi="標楷體"/>
                <w:szCs w:val="24"/>
              </w:rPr>
            </w:pPr>
            <w:r w:rsidRPr="00ED52D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曹昭懿 教授（臺灣大學物理治療學系）</w:t>
            </w:r>
          </w:p>
        </w:tc>
      </w:tr>
      <w:tr w:rsidR="00B4169E" w:rsidRPr="008D1BFE" w14:paraId="422DC10A" w14:textId="77777777" w:rsidTr="000B0324">
        <w:tc>
          <w:tcPr>
            <w:tcW w:w="709" w:type="dxa"/>
          </w:tcPr>
          <w:p w14:paraId="4DF12A17" w14:textId="77777777" w:rsidR="00B4169E" w:rsidRPr="008D1BFE" w:rsidRDefault="00B4169E" w:rsidP="00E607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F1</w:t>
            </w:r>
          </w:p>
        </w:tc>
        <w:tc>
          <w:tcPr>
            <w:tcW w:w="1295" w:type="dxa"/>
          </w:tcPr>
          <w:p w14:paraId="37E88E92" w14:textId="77777777" w:rsidR="00B4169E" w:rsidRPr="008D1BFE" w:rsidRDefault="00B4169E" w:rsidP="00E60706">
            <w:pPr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老人健康與疾病、運動與慢性病控制（2小時）</w:t>
            </w:r>
          </w:p>
        </w:tc>
        <w:tc>
          <w:tcPr>
            <w:tcW w:w="6502" w:type="dxa"/>
          </w:tcPr>
          <w:p w14:paraId="6FB24530" w14:textId="77777777" w:rsidR="00B4169E" w:rsidRPr="008D1BFE" w:rsidRDefault="00B4169E" w:rsidP="00E60706">
            <w:pPr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本課程內容將說明隨著年齡增長，老化過程對肌肉骨骼系統、神經系統、心血管系統、呼吸系統等身體及生理狀況之改變，以及常見慢性疾病對健康的影響。另外，將介紹高齡者如何選用適當的運動類型，以改善其慢性症狀</w:t>
            </w:r>
            <w:r w:rsidRPr="008D1BFE">
              <w:rPr>
                <w:rFonts w:ascii="標楷體" w:eastAsia="標楷體" w:hAnsi="標楷體"/>
                <w:szCs w:val="24"/>
              </w:rPr>
              <w:t>(</w:t>
            </w:r>
            <w:r w:rsidRPr="008D1BFE">
              <w:rPr>
                <w:rFonts w:ascii="標楷體" w:eastAsia="標楷體" w:hAnsi="標楷體" w:hint="eastAsia"/>
                <w:szCs w:val="24"/>
              </w:rPr>
              <w:t>如高血壓不適於高強度阻力訓練</w:t>
            </w:r>
            <w:r w:rsidRPr="008D1BFE">
              <w:rPr>
                <w:rFonts w:ascii="標楷體" w:eastAsia="標楷體" w:hAnsi="標楷體"/>
                <w:szCs w:val="24"/>
              </w:rPr>
              <w:t>)</w:t>
            </w:r>
            <w:r w:rsidRPr="008D1BFE">
              <w:rPr>
                <w:rFonts w:ascii="標楷體" w:eastAsia="標楷體" w:hAnsi="標楷體" w:hint="eastAsia"/>
                <w:szCs w:val="24"/>
              </w:rPr>
              <w:t>，以提升學員的學理知能。</w:t>
            </w:r>
          </w:p>
        </w:tc>
        <w:tc>
          <w:tcPr>
            <w:tcW w:w="1985" w:type="dxa"/>
          </w:tcPr>
          <w:p w14:paraId="06D0781C" w14:textId="77777777" w:rsidR="00B4169E" w:rsidRPr="00ED52D6" w:rsidRDefault="00B4169E" w:rsidP="00E60706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52D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課程召集人</w:t>
            </w:r>
          </w:p>
          <w:p w14:paraId="4261EF7F" w14:textId="351F7501" w:rsidR="00B4169E" w:rsidRPr="008D1BFE" w:rsidRDefault="00B4169E" w:rsidP="000B0324">
            <w:pPr>
              <w:rPr>
                <w:rFonts w:ascii="標楷體" w:eastAsia="標楷體" w:hAnsi="標楷體"/>
                <w:szCs w:val="24"/>
              </w:rPr>
            </w:pPr>
            <w:r w:rsidRPr="00ED52D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周立偉 副教授（國立陽明大學物理治療暨輔助科技學系）</w:t>
            </w:r>
          </w:p>
        </w:tc>
      </w:tr>
      <w:tr w:rsidR="00B4169E" w:rsidRPr="008D1BFE" w14:paraId="257E81B8" w14:textId="77777777" w:rsidTr="000B0324">
        <w:tc>
          <w:tcPr>
            <w:tcW w:w="709" w:type="dxa"/>
          </w:tcPr>
          <w:p w14:paraId="705377AB" w14:textId="77777777" w:rsidR="00B4169E" w:rsidRPr="008D1BFE" w:rsidRDefault="00B4169E" w:rsidP="00E607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F2</w:t>
            </w:r>
          </w:p>
        </w:tc>
        <w:tc>
          <w:tcPr>
            <w:tcW w:w="1295" w:type="dxa"/>
          </w:tcPr>
          <w:p w14:paraId="4D22CF8F" w14:textId="77777777" w:rsidR="00B4169E" w:rsidRPr="008D1BFE" w:rsidRDefault="00B4169E" w:rsidP="00E60706">
            <w:pPr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慢性病者運動注意事項、緊急狀況處理（2小時）</w:t>
            </w:r>
          </w:p>
        </w:tc>
        <w:tc>
          <w:tcPr>
            <w:tcW w:w="6502" w:type="dxa"/>
          </w:tcPr>
          <w:p w14:paraId="4B818547" w14:textId="77777777" w:rsidR="00B4169E" w:rsidRPr="008D1BFE" w:rsidRDefault="00B4169E" w:rsidP="00E60706">
            <w:pPr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因應高齡化社會的來臨、肥胖與慢性病盛行率上升(例如退化性關節炎、三高、心血管疾病等)，針對高齡者與慢性病患等特殊族群，學員將學習到特殊族群參與運動前的身體狀況評估，並對照不同水準應特別注意的事項。依照特殊族群過往的運動習慣並搭配可接受的新運動型態，提供循序漸進模式之運動處方建議。如不慎在運動時發生傷害或意外時，學習其緊急應變程序並如何快速啟動後送機制，將傷害影響降至最低。</w:t>
            </w:r>
          </w:p>
        </w:tc>
        <w:tc>
          <w:tcPr>
            <w:tcW w:w="1985" w:type="dxa"/>
          </w:tcPr>
          <w:p w14:paraId="71DC4DEE" w14:textId="77777777" w:rsidR="00B4169E" w:rsidRPr="00ED52D6" w:rsidRDefault="00B4169E" w:rsidP="00E60706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52D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課程召集人</w:t>
            </w:r>
          </w:p>
          <w:p w14:paraId="171F43F3" w14:textId="179C564D" w:rsidR="00B4169E" w:rsidRPr="008D1BFE" w:rsidRDefault="00B4169E" w:rsidP="000B0324">
            <w:pPr>
              <w:rPr>
                <w:rFonts w:ascii="標楷體" w:eastAsia="標楷體" w:hAnsi="標楷體"/>
                <w:szCs w:val="24"/>
              </w:rPr>
            </w:pPr>
            <w:r w:rsidRPr="00ED52D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蔡美文 副教授（國立陽明大學物理治療暨輔助科技學系）</w:t>
            </w:r>
          </w:p>
        </w:tc>
      </w:tr>
    </w:tbl>
    <w:p w14:paraId="01432B6A" w14:textId="77777777" w:rsidR="00B4169E" w:rsidRDefault="00B4169E" w:rsidP="00B4169E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14:paraId="08E5447F" w14:textId="7C662F97" w:rsidR="00B4169E" w:rsidRPr="008D1BFE" w:rsidRDefault="00B4169E" w:rsidP="00B4169E">
      <w:pPr>
        <w:pStyle w:val="a3"/>
        <w:numPr>
          <w:ilvl w:val="0"/>
          <w:numId w:val="5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sz w:val="28"/>
        </w:rPr>
      </w:pPr>
      <w:r w:rsidRPr="008D1BFE">
        <w:rPr>
          <w:rFonts w:ascii="標楷體" w:eastAsia="標楷體" w:hAnsi="標楷體" w:hint="eastAsia"/>
          <w:sz w:val="28"/>
        </w:rPr>
        <w:lastRenderedPageBreak/>
        <w:t>培訓日期</w:t>
      </w:r>
      <w:r w:rsidRPr="008D1BFE">
        <w:rPr>
          <w:rFonts w:ascii="新細明體" w:eastAsia="新細明體" w:hAnsi="新細明體" w:hint="eastAsia"/>
          <w:sz w:val="28"/>
        </w:rPr>
        <w:t>：</w:t>
      </w:r>
      <w:r w:rsidR="000B0324" w:rsidRPr="000B0324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（可跨區參與）</w:t>
      </w:r>
    </w:p>
    <w:tbl>
      <w:tblPr>
        <w:tblpPr w:leftFromText="180" w:rightFromText="180" w:vertAnchor="page" w:horzAnchor="page" w:tblpX="1630" w:tblpY="1985"/>
        <w:tblW w:w="9043" w:type="dxa"/>
        <w:tblLook w:val="04A0" w:firstRow="1" w:lastRow="0" w:firstColumn="1" w:lastColumn="0" w:noHBand="0" w:noVBand="1"/>
      </w:tblPr>
      <w:tblGrid>
        <w:gridCol w:w="1533"/>
        <w:gridCol w:w="1276"/>
        <w:gridCol w:w="1984"/>
        <w:gridCol w:w="1985"/>
        <w:gridCol w:w="2265"/>
      </w:tblGrid>
      <w:tr w:rsidR="00F40CED" w:rsidRPr="00582D0C" w14:paraId="48C2BDD6" w14:textId="77777777" w:rsidTr="000B0324">
        <w:trPr>
          <w:trHeight w:val="542"/>
        </w:trPr>
        <w:tc>
          <w:tcPr>
            <w:tcW w:w="15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58D0A9" w14:textId="2CC912B2" w:rsidR="00FB6777" w:rsidRPr="00582D0C" w:rsidRDefault="00FB677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梯次順序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2ACA6F" w14:textId="269F1983" w:rsidR="00FB6777" w:rsidRPr="00582D0C" w:rsidRDefault="000B0324" w:rsidP="000B032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參考</w:t>
            </w:r>
            <w:r w:rsidR="00FB6777"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區域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A4E249" w14:textId="77777777" w:rsidR="00FB6777" w:rsidRPr="00582D0C" w:rsidRDefault="00FB6777" w:rsidP="007D76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辦理地點(暫定)</w:t>
            </w:r>
          </w:p>
        </w:tc>
        <w:tc>
          <w:tcPr>
            <w:tcW w:w="425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989DBD1" w14:textId="77777777" w:rsidR="00FB6777" w:rsidRPr="00582D0C" w:rsidRDefault="00FB6777" w:rsidP="007D76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日期</w:t>
            </w:r>
          </w:p>
        </w:tc>
      </w:tr>
      <w:tr w:rsidR="00F40CED" w:rsidRPr="00582D0C" w14:paraId="64F05767" w14:textId="77777777" w:rsidTr="000B0324">
        <w:trPr>
          <w:trHeight w:val="536"/>
        </w:trPr>
        <w:tc>
          <w:tcPr>
            <w:tcW w:w="1533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E1D515D" w14:textId="77777777" w:rsidR="00FB6777" w:rsidRPr="00582D0C" w:rsidRDefault="00FB677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1F99D92" w14:textId="3049E685" w:rsidR="00FB6777" w:rsidRPr="00582D0C" w:rsidRDefault="00FB677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01EDA49" w14:textId="77777777" w:rsidR="00FB6777" w:rsidRPr="00582D0C" w:rsidRDefault="00FB677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8D9E5" w14:textId="77777777" w:rsidR="00FB6777" w:rsidRPr="00582D0C" w:rsidRDefault="00FB6777" w:rsidP="007D76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醫療專業人員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BBE296" w14:textId="77777777" w:rsidR="00FB6777" w:rsidRPr="00582D0C" w:rsidRDefault="00FB6777" w:rsidP="007D76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運動專業人員</w:t>
            </w:r>
          </w:p>
        </w:tc>
      </w:tr>
      <w:tr w:rsidR="00F40CED" w:rsidRPr="00582D0C" w14:paraId="57C8F637" w14:textId="77777777" w:rsidTr="00F40CED">
        <w:trPr>
          <w:trHeight w:val="860"/>
        </w:trPr>
        <w:tc>
          <w:tcPr>
            <w:tcW w:w="15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B64148" w14:textId="38DF0424" w:rsidR="00B80FD7" w:rsidRPr="00582D0C" w:rsidRDefault="00FB677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第一梯次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55EC1F" w14:textId="65C7167A" w:rsidR="00B80FD7" w:rsidRPr="00582D0C" w:rsidRDefault="00B80FD7" w:rsidP="007D7655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臺北市、基隆市、連江縣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505C12" w14:textId="77777777" w:rsidR="00B80FD7" w:rsidRPr="00582D0C" w:rsidRDefault="00B80FD7" w:rsidP="007D7655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臺北市立大學國際會議廳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8ED4A" w14:textId="77777777" w:rsidR="00B80FD7" w:rsidRPr="00582D0C" w:rsidRDefault="00B80FD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5/6、5/7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E4060D" w14:textId="77777777" w:rsidR="00B80FD7" w:rsidRPr="00582D0C" w:rsidRDefault="00B80FD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5/6、5/7、5/13</w:t>
            </w:r>
          </w:p>
        </w:tc>
      </w:tr>
      <w:tr w:rsidR="00F40CED" w:rsidRPr="00582D0C" w14:paraId="312283BF" w14:textId="77777777" w:rsidTr="00F40CED">
        <w:trPr>
          <w:trHeight w:val="860"/>
        </w:trPr>
        <w:tc>
          <w:tcPr>
            <w:tcW w:w="15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BBE5BC" w14:textId="5EAEABDF" w:rsidR="00B80FD7" w:rsidRPr="00582D0C" w:rsidRDefault="00FB677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第二梯次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9A7F7C" w14:textId="67F31D67" w:rsidR="00B80FD7" w:rsidRPr="00582D0C" w:rsidRDefault="00B80FD7" w:rsidP="007D7655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新北市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199A47" w14:textId="77777777" w:rsidR="00B80FD7" w:rsidRPr="00582D0C" w:rsidRDefault="00B80FD7" w:rsidP="007D7655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新北市政府衛生局9樓會議廳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074A8" w14:textId="3E01869A" w:rsidR="00B80FD7" w:rsidRPr="00582D0C" w:rsidRDefault="00F40CED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5/20</w:t>
            </w:r>
            <w:r w:rsidR="00B80FD7"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、5/2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C802DC" w14:textId="77777777" w:rsidR="00B80FD7" w:rsidRPr="00582D0C" w:rsidRDefault="00B80FD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5/14、5/20、5/21</w:t>
            </w:r>
          </w:p>
        </w:tc>
      </w:tr>
      <w:tr w:rsidR="00F40CED" w:rsidRPr="00582D0C" w14:paraId="09970F8F" w14:textId="77777777" w:rsidTr="00F40CED">
        <w:trPr>
          <w:trHeight w:val="860"/>
        </w:trPr>
        <w:tc>
          <w:tcPr>
            <w:tcW w:w="15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48E86A" w14:textId="7109DF34" w:rsidR="00FB6777" w:rsidRPr="00582D0C" w:rsidRDefault="00FB677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第三梯次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49CDE" w14:textId="67695E06" w:rsidR="00B80FD7" w:rsidRPr="00582D0C" w:rsidRDefault="00B80FD7" w:rsidP="007D7655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雲林縣、嘉義縣、台南市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2B6EF" w14:textId="1754E0AD" w:rsidR="00B80FD7" w:rsidRPr="00582D0C" w:rsidRDefault="00B80FD7" w:rsidP="007D7655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台南市政府衛生局東興辦公室大禮堂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0C7D8" w14:textId="4DB57575" w:rsidR="00B80FD7" w:rsidRPr="00582D0C" w:rsidRDefault="00F40CED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6/10</w:t>
            </w:r>
            <w:r w:rsidR="00B80FD7"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、6/1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F54DA" w14:textId="505DD0E2" w:rsidR="00B80FD7" w:rsidRPr="00582D0C" w:rsidRDefault="00B80FD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6/4、6/10、6/11</w:t>
            </w:r>
          </w:p>
        </w:tc>
      </w:tr>
      <w:tr w:rsidR="00F40CED" w:rsidRPr="00582D0C" w14:paraId="4606AA18" w14:textId="77777777" w:rsidTr="00F40CED">
        <w:trPr>
          <w:trHeight w:val="860"/>
        </w:trPr>
        <w:tc>
          <w:tcPr>
            <w:tcW w:w="15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6B144D" w14:textId="22C4B8BE" w:rsidR="00B80FD7" w:rsidRPr="00582D0C" w:rsidRDefault="00FB677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第四梯次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63CDC4" w14:textId="18091B5A" w:rsidR="00B80FD7" w:rsidRPr="00582D0C" w:rsidRDefault="00B80FD7" w:rsidP="007D7655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台中市、彰化縣、南投縣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D99904" w14:textId="77777777" w:rsidR="00B80FD7" w:rsidRPr="00582D0C" w:rsidRDefault="00B80FD7" w:rsidP="007D7655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國立臺灣體育運動大學行政教學大樓地下視聽教室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00CDE" w14:textId="77777777" w:rsidR="00B80FD7" w:rsidRPr="00582D0C" w:rsidRDefault="00B80FD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6/10、6/11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8A4F08" w14:textId="77777777" w:rsidR="00B80FD7" w:rsidRPr="00582D0C" w:rsidRDefault="00B80FD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6/10、6/11、6/17</w:t>
            </w:r>
          </w:p>
        </w:tc>
      </w:tr>
      <w:tr w:rsidR="00F40CED" w:rsidRPr="00582D0C" w14:paraId="30AE7B3A" w14:textId="77777777" w:rsidTr="00F40CED">
        <w:trPr>
          <w:trHeight w:val="860"/>
        </w:trPr>
        <w:tc>
          <w:tcPr>
            <w:tcW w:w="15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9F0797" w14:textId="6FF00565" w:rsidR="00B80FD7" w:rsidRPr="00582D0C" w:rsidRDefault="00FB677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第五梯次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83071" w14:textId="16F6A830" w:rsidR="00B80FD7" w:rsidRPr="00582D0C" w:rsidRDefault="00B80FD7" w:rsidP="007D7655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高雄市、屏東縣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70ABD" w14:textId="1A15C7E0" w:rsidR="00B80FD7" w:rsidRPr="00582D0C" w:rsidRDefault="00B80FD7" w:rsidP="007D7655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高雄醫學大學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3A429" w14:textId="50A1A235" w:rsidR="00B80FD7" w:rsidRPr="00582D0C" w:rsidRDefault="00B80FD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6/17、6/18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DBF3E" w14:textId="63D8B02E" w:rsidR="00B80FD7" w:rsidRPr="00582D0C" w:rsidRDefault="00B80FD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6/17、6/18、6/24</w:t>
            </w:r>
          </w:p>
        </w:tc>
      </w:tr>
      <w:tr w:rsidR="00F40CED" w:rsidRPr="00582D0C" w14:paraId="67DCFB13" w14:textId="77777777" w:rsidTr="00F40CED">
        <w:trPr>
          <w:trHeight w:val="860"/>
        </w:trPr>
        <w:tc>
          <w:tcPr>
            <w:tcW w:w="15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0693AE" w14:textId="660BF29E" w:rsidR="00B80FD7" w:rsidRPr="00582D0C" w:rsidRDefault="00FB677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第六梯次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A2169" w14:textId="62F2F0A3" w:rsidR="00B80FD7" w:rsidRPr="00582D0C" w:rsidRDefault="00B80FD7" w:rsidP="007D7655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花蓮縣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07B9A" w14:textId="3932A428" w:rsidR="00B80FD7" w:rsidRPr="00582D0C" w:rsidRDefault="007D7655" w:rsidP="007D7655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D765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花蓮縣衛生局 3 樓 大禮堂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2C791" w14:textId="0ECDF2E3" w:rsidR="00B80FD7" w:rsidRPr="00582D0C" w:rsidRDefault="00B80FD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6/24、6/</w:t>
            </w:r>
            <w:bookmarkStart w:id="0" w:name="_GoBack"/>
            <w:bookmarkEnd w:id="0"/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EF2FF" w14:textId="0DEB9847" w:rsidR="00B80FD7" w:rsidRPr="00582D0C" w:rsidRDefault="00B80FD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6/24、6/25、7/1</w:t>
            </w:r>
          </w:p>
        </w:tc>
      </w:tr>
      <w:tr w:rsidR="00F40CED" w:rsidRPr="00582D0C" w14:paraId="48FF8734" w14:textId="77777777" w:rsidTr="00F40CED">
        <w:trPr>
          <w:trHeight w:val="860"/>
        </w:trPr>
        <w:tc>
          <w:tcPr>
            <w:tcW w:w="15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515F1A" w14:textId="73678C35" w:rsidR="00B80FD7" w:rsidRPr="00582D0C" w:rsidRDefault="00FB677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第七梯次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98EAF6" w14:textId="205C345C" w:rsidR="00B80FD7" w:rsidRPr="00582D0C" w:rsidRDefault="00B80FD7" w:rsidP="007D7655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宜蘭縣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7A97CA" w14:textId="77777777" w:rsidR="00B80FD7" w:rsidRPr="00582D0C" w:rsidRDefault="00B80FD7" w:rsidP="007D7655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宜蘭縣政府衛生局健康大樓第三會議室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DF19B" w14:textId="77777777" w:rsidR="00B80FD7" w:rsidRPr="00582D0C" w:rsidRDefault="00B80FD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7/1、7/2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CA9D41" w14:textId="77777777" w:rsidR="00B80FD7" w:rsidRPr="00582D0C" w:rsidRDefault="00B80FD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7/1、7/2、7/9</w:t>
            </w:r>
          </w:p>
        </w:tc>
      </w:tr>
      <w:tr w:rsidR="00F40CED" w:rsidRPr="00582D0C" w14:paraId="60129CEC" w14:textId="77777777" w:rsidTr="00F40CED">
        <w:trPr>
          <w:trHeight w:val="860"/>
        </w:trPr>
        <w:tc>
          <w:tcPr>
            <w:tcW w:w="15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438216" w14:textId="667AD446" w:rsidR="00B80FD7" w:rsidRPr="00582D0C" w:rsidRDefault="00FB677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第八梯次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29F66" w14:textId="28BA2C55" w:rsidR="00B80FD7" w:rsidRPr="00582D0C" w:rsidRDefault="00B80FD7" w:rsidP="007D7655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台東縣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9C6CD" w14:textId="65B3BE81" w:rsidR="00B80FD7" w:rsidRPr="00582D0C" w:rsidRDefault="00B80FD7" w:rsidP="007D7655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*</w:t>
            </w: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國立台東大學台東校區視聽教室A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C6988" w14:textId="7DC30E16" w:rsidR="00B80FD7" w:rsidRPr="00582D0C" w:rsidRDefault="00B80FD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7/8、7/9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9760E" w14:textId="3F0050D0" w:rsidR="00B80FD7" w:rsidRPr="00582D0C" w:rsidRDefault="00B80FD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7/8、7/9、7/15</w:t>
            </w:r>
          </w:p>
        </w:tc>
      </w:tr>
      <w:tr w:rsidR="00F40CED" w:rsidRPr="00582D0C" w14:paraId="01ADFA5F" w14:textId="77777777" w:rsidTr="00F40CED">
        <w:trPr>
          <w:trHeight w:val="860"/>
        </w:trPr>
        <w:tc>
          <w:tcPr>
            <w:tcW w:w="15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6CC39D" w14:textId="112E678F" w:rsidR="00B80FD7" w:rsidRPr="00582D0C" w:rsidRDefault="00FB677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第九梯次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AFF86" w14:textId="7DE24B39" w:rsidR="00B80FD7" w:rsidRPr="00582D0C" w:rsidRDefault="00B80FD7" w:rsidP="007D7655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金門縣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98B4D" w14:textId="209A9786" w:rsidR="00B80FD7" w:rsidRPr="00582D0C" w:rsidRDefault="00B80FD7" w:rsidP="007D7655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*</w:t>
            </w: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國立金門大學陳開蓉會議廳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1D7B9" w14:textId="1639F16E" w:rsidR="00B80FD7" w:rsidRPr="00582D0C" w:rsidRDefault="00B80FD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7/15、7/16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DAA60" w14:textId="47EFBA1D" w:rsidR="00B80FD7" w:rsidRPr="00582D0C" w:rsidRDefault="00B80FD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7/15、7/16、7/22</w:t>
            </w:r>
          </w:p>
        </w:tc>
      </w:tr>
      <w:tr w:rsidR="00F40CED" w:rsidRPr="00582D0C" w14:paraId="135D1B19" w14:textId="77777777" w:rsidTr="00F40CED">
        <w:trPr>
          <w:trHeight w:val="860"/>
        </w:trPr>
        <w:tc>
          <w:tcPr>
            <w:tcW w:w="15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0F3AF3" w14:textId="3C47A288" w:rsidR="00B80FD7" w:rsidRPr="00582D0C" w:rsidRDefault="00FB677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第十梯次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ACBA8" w14:textId="00994C42" w:rsidR="00B80FD7" w:rsidRPr="00582D0C" w:rsidRDefault="00B80FD7" w:rsidP="007D7655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澎湖縣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3A7E7" w14:textId="7B34D16B" w:rsidR="00B80FD7" w:rsidRPr="00582D0C" w:rsidRDefault="00B80FD7" w:rsidP="007D7655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澎湖縣政府地下大禮堂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D1869" w14:textId="3325B381" w:rsidR="00B80FD7" w:rsidRPr="00582D0C" w:rsidRDefault="00B80FD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7/22、7/23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E33FB" w14:textId="486421B2" w:rsidR="00B80FD7" w:rsidRPr="00582D0C" w:rsidRDefault="00B80FD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7/22、7/23、7/29</w:t>
            </w:r>
          </w:p>
        </w:tc>
      </w:tr>
      <w:tr w:rsidR="00F40CED" w:rsidRPr="00582D0C" w14:paraId="6C5A3A04" w14:textId="77777777" w:rsidTr="00F40CED">
        <w:trPr>
          <w:trHeight w:val="860"/>
        </w:trPr>
        <w:tc>
          <w:tcPr>
            <w:tcW w:w="15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DFF86" w14:textId="2332FD1F" w:rsidR="00B80FD7" w:rsidRPr="00582D0C" w:rsidRDefault="00FB677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第十一梯次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54BAC" w14:textId="27552DE2" w:rsidR="00B80FD7" w:rsidRPr="00582D0C" w:rsidRDefault="00B80FD7" w:rsidP="007D7655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桃園市、新竹縣、苗栗縣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4EB29" w14:textId="78F117DD" w:rsidR="00B80FD7" w:rsidRPr="00582D0C" w:rsidRDefault="00B80FD7" w:rsidP="007D7655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桃園市政府衛生局4樓大會議室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E7078" w14:textId="0820AF05" w:rsidR="00B80FD7" w:rsidRPr="00582D0C" w:rsidRDefault="00F40CED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7/29</w:t>
            </w:r>
            <w:r w:rsidR="00B80FD7"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、7/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D66B7" w14:textId="6D86BA01" w:rsidR="00B80FD7" w:rsidRPr="00582D0C" w:rsidRDefault="00B80FD7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7/23、7/29、7/30</w:t>
            </w:r>
          </w:p>
        </w:tc>
      </w:tr>
    </w:tbl>
    <w:p w14:paraId="091107C4" w14:textId="4F48580C" w:rsidR="001D52B9" w:rsidRDefault="009A35B0" w:rsidP="001D52B9">
      <w:pPr>
        <w:numPr>
          <w:ilvl w:val="0"/>
          <w:numId w:val="4"/>
        </w:numPr>
        <w:snapToGrid w:val="0"/>
        <w:spacing w:beforeLines="50" w:before="180"/>
        <w:ind w:left="709" w:hanging="709"/>
        <w:jc w:val="both"/>
        <w:rPr>
          <w:rFonts w:eastAsia="標楷體"/>
          <w:b/>
          <w:sz w:val="32"/>
          <w:szCs w:val="32"/>
        </w:rPr>
      </w:pPr>
      <w:r>
        <w:br w:type="page"/>
      </w:r>
      <w:r w:rsidR="001D52B9">
        <w:rPr>
          <w:rFonts w:eastAsia="標楷體" w:hint="eastAsia"/>
          <w:b/>
          <w:sz w:val="32"/>
          <w:szCs w:val="32"/>
        </w:rPr>
        <w:lastRenderedPageBreak/>
        <w:t>報名相關事宜</w:t>
      </w:r>
    </w:p>
    <w:p w14:paraId="3FE63828" w14:textId="2AB1654E" w:rsidR="001D52B9" w:rsidRDefault="001D52B9" w:rsidP="001D52B9">
      <w:pPr>
        <w:pStyle w:val="a3"/>
        <w:numPr>
          <w:ilvl w:val="0"/>
          <w:numId w:val="8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sz w:val="28"/>
        </w:rPr>
      </w:pPr>
      <w:r>
        <w:t xml:space="preserve"> </w:t>
      </w:r>
      <w:r>
        <w:rPr>
          <w:rFonts w:ascii="標楷體" w:eastAsia="標楷體" w:hAnsi="標楷體" w:hint="eastAsia"/>
          <w:sz w:val="28"/>
        </w:rPr>
        <w:t>報名日期：</w:t>
      </w:r>
    </w:p>
    <w:p w14:paraId="19984A74" w14:textId="3F956160" w:rsidR="001D52B9" w:rsidRDefault="001D52B9" w:rsidP="001D52B9">
      <w:pPr>
        <w:pStyle w:val="a3"/>
        <w:numPr>
          <w:ilvl w:val="1"/>
          <w:numId w:val="8"/>
        </w:numPr>
        <w:snapToGrid w:val="0"/>
        <w:spacing w:line="500" w:lineRule="exact"/>
        <w:ind w:leftChars="0" w:left="1134" w:hanging="708"/>
        <w:jc w:val="both"/>
        <w:rPr>
          <w:rFonts w:ascii="標楷體" w:eastAsia="標楷體" w:hAnsi="標楷體"/>
          <w:sz w:val="28"/>
        </w:rPr>
      </w:pPr>
      <w:r w:rsidRPr="001D52B9">
        <w:rPr>
          <w:rFonts w:ascii="標楷體" w:eastAsia="標楷體" w:hAnsi="標楷體" w:hint="eastAsia"/>
          <w:sz w:val="28"/>
        </w:rPr>
        <w:t>第1梯次</w:t>
      </w:r>
      <w:r>
        <w:rPr>
          <w:rFonts w:ascii="標楷體" w:eastAsia="標楷體" w:hAnsi="標楷體" w:hint="eastAsia"/>
          <w:sz w:val="28"/>
        </w:rPr>
        <w:t>臺北市立大學場次</w:t>
      </w:r>
      <w:r w:rsidRPr="001D52B9">
        <w:rPr>
          <w:rFonts w:ascii="標楷體" w:eastAsia="標楷體" w:hAnsi="標楷體" w:hint="eastAsia"/>
          <w:sz w:val="28"/>
        </w:rPr>
        <w:t>報名時間自4月20日起至5月5日止</w:t>
      </w:r>
      <w:r>
        <w:rPr>
          <w:rFonts w:ascii="標楷體" w:eastAsia="標楷體" w:hAnsi="標楷體" w:hint="eastAsia"/>
          <w:sz w:val="28"/>
        </w:rPr>
        <w:t>。</w:t>
      </w:r>
    </w:p>
    <w:p w14:paraId="1F80A933" w14:textId="7D3289BA" w:rsidR="001D52B9" w:rsidRDefault="001D52B9" w:rsidP="001D52B9">
      <w:pPr>
        <w:pStyle w:val="a3"/>
        <w:numPr>
          <w:ilvl w:val="1"/>
          <w:numId w:val="8"/>
        </w:numPr>
        <w:snapToGrid w:val="0"/>
        <w:spacing w:line="500" w:lineRule="exact"/>
        <w:ind w:leftChars="0" w:left="1134" w:hanging="708"/>
        <w:jc w:val="both"/>
        <w:rPr>
          <w:rFonts w:ascii="標楷體" w:eastAsia="標楷體" w:hAnsi="標楷體"/>
          <w:sz w:val="28"/>
        </w:rPr>
      </w:pPr>
      <w:r w:rsidRPr="001D52B9">
        <w:rPr>
          <w:rFonts w:ascii="標楷體" w:eastAsia="標楷體" w:hAnsi="標楷體" w:hint="eastAsia"/>
          <w:sz w:val="28"/>
        </w:rPr>
        <w:t>第2梯次</w:t>
      </w:r>
      <w:r>
        <w:rPr>
          <w:rFonts w:ascii="標楷體" w:eastAsia="標楷體" w:hAnsi="標楷體" w:hint="eastAsia"/>
          <w:sz w:val="28"/>
        </w:rPr>
        <w:t>臺北市政府衛生局場次</w:t>
      </w:r>
      <w:r w:rsidRPr="001D52B9">
        <w:rPr>
          <w:rFonts w:ascii="標楷體" w:eastAsia="標楷體" w:hAnsi="標楷體" w:hint="eastAsia"/>
          <w:sz w:val="28"/>
        </w:rPr>
        <w:t>報名時間自4月20日起至5月13日止</w:t>
      </w:r>
      <w:r>
        <w:rPr>
          <w:rFonts w:ascii="標楷體" w:eastAsia="標楷體" w:hAnsi="標楷體" w:hint="eastAsia"/>
          <w:sz w:val="28"/>
        </w:rPr>
        <w:t>。</w:t>
      </w:r>
    </w:p>
    <w:p w14:paraId="578DF2C9" w14:textId="687A19B9" w:rsidR="001D52B9" w:rsidRPr="001D52B9" w:rsidRDefault="001D52B9" w:rsidP="001D52B9">
      <w:pPr>
        <w:pStyle w:val="a3"/>
        <w:numPr>
          <w:ilvl w:val="1"/>
          <w:numId w:val="8"/>
        </w:numPr>
        <w:snapToGrid w:val="0"/>
        <w:spacing w:line="500" w:lineRule="exact"/>
        <w:ind w:leftChars="0" w:left="1134" w:hanging="708"/>
        <w:jc w:val="both"/>
        <w:rPr>
          <w:rFonts w:ascii="標楷體" w:eastAsia="標楷體" w:hAnsi="標楷體"/>
          <w:sz w:val="28"/>
        </w:rPr>
      </w:pPr>
      <w:r w:rsidRPr="001D52B9">
        <w:rPr>
          <w:rFonts w:ascii="標楷體" w:eastAsia="標楷體" w:hAnsi="標楷體" w:hint="eastAsia"/>
          <w:sz w:val="28"/>
        </w:rPr>
        <w:t>其他各梯次課程開始前1個月受理網路報名。</w:t>
      </w:r>
    </w:p>
    <w:p w14:paraId="59CD2E78" w14:textId="432FAAE3" w:rsidR="001D52B9" w:rsidRDefault="001D52B9" w:rsidP="001D52B9">
      <w:pPr>
        <w:pStyle w:val="a3"/>
        <w:numPr>
          <w:ilvl w:val="0"/>
          <w:numId w:val="8"/>
        </w:numPr>
        <w:snapToGrid w:val="0"/>
        <w:spacing w:line="500" w:lineRule="exact"/>
        <w:ind w:leftChars="0" w:left="709" w:hanging="709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課程費用：免費</w:t>
      </w:r>
    </w:p>
    <w:p w14:paraId="7E4CBF80" w14:textId="5E28671D" w:rsidR="001D52B9" w:rsidRDefault="00750C80" w:rsidP="001D52B9">
      <w:pPr>
        <w:pStyle w:val="a3"/>
        <w:numPr>
          <w:ilvl w:val="0"/>
          <w:numId w:val="8"/>
        </w:numPr>
        <w:snapToGrid w:val="0"/>
        <w:spacing w:line="500" w:lineRule="exact"/>
        <w:ind w:leftChars="0" w:left="709" w:hanging="709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64384" behindDoc="0" locked="0" layoutInCell="1" allowOverlap="1" wp14:anchorId="394F5021" wp14:editId="53BC2391">
            <wp:simplePos x="0" y="0"/>
            <wp:positionH relativeFrom="column">
              <wp:posOffset>4286250</wp:posOffset>
            </wp:positionH>
            <wp:positionV relativeFrom="paragraph">
              <wp:posOffset>113665</wp:posOffset>
            </wp:positionV>
            <wp:extent cx="1323975" cy="137160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de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6" t="7229" r="7229" b="6025"/>
                    <a:stretch/>
                  </pic:blipFill>
                  <pic:spPr bwMode="auto">
                    <a:xfrm>
                      <a:off x="0" y="0"/>
                      <a:ext cx="1323975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2B9">
        <w:rPr>
          <w:rFonts w:ascii="標楷體" w:eastAsia="標楷體" w:hAnsi="標楷體" w:hint="eastAsia"/>
          <w:sz w:val="28"/>
        </w:rPr>
        <w:t>報名網站：</w:t>
      </w:r>
    </w:p>
    <w:p w14:paraId="57439A20" w14:textId="43D1AEB6" w:rsidR="001D52B9" w:rsidRDefault="001D52B9" w:rsidP="001D52B9">
      <w:pPr>
        <w:pStyle w:val="a3"/>
        <w:numPr>
          <w:ilvl w:val="1"/>
          <w:numId w:val="8"/>
        </w:numPr>
        <w:snapToGrid w:val="0"/>
        <w:spacing w:line="500" w:lineRule="exact"/>
        <w:ind w:leftChars="0" w:left="1134" w:hanging="70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國民</w:t>
      </w:r>
      <w:proofErr w:type="gramStart"/>
      <w:r>
        <w:rPr>
          <w:rFonts w:ascii="標楷體" w:eastAsia="標楷體" w:hAnsi="標楷體" w:hint="eastAsia"/>
          <w:sz w:val="28"/>
        </w:rPr>
        <w:t>健康署</w:t>
      </w:r>
      <w:proofErr w:type="gramEnd"/>
      <w:r>
        <w:rPr>
          <w:rFonts w:ascii="標楷體" w:eastAsia="標楷體" w:hAnsi="標楷體" w:hint="eastAsia"/>
          <w:sz w:val="28"/>
        </w:rPr>
        <w:t>網站 =&gt; 服務園地 =&gt; 活動熱訊</w:t>
      </w:r>
    </w:p>
    <w:p w14:paraId="413137BF" w14:textId="27C43EF8" w:rsidR="001D52B9" w:rsidRDefault="001E4635" w:rsidP="00F91A55">
      <w:pPr>
        <w:pStyle w:val="a3"/>
        <w:numPr>
          <w:ilvl w:val="1"/>
          <w:numId w:val="8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輸入網址：</w:t>
      </w:r>
      <w:r w:rsidR="00F91A55" w:rsidRPr="00F91A55">
        <w:rPr>
          <w:rFonts w:ascii="標楷體" w:eastAsia="標楷體" w:hAnsi="標楷體"/>
          <w:sz w:val="28"/>
        </w:rPr>
        <w:t>goo.gl/9YKAWm</w:t>
      </w:r>
      <w:r w:rsidR="001D52B9" w:rsidRPr="001D52B9">
        <w:rPr>
          <w:rFonts w:ascii="標楷體" w:eastAsia="標楷體" w:hAnsi="標楷體"/>
          <w:sz w:val="28"/>
        </w:rPr>
        <w:t xml:space="preserve"> </w:t>
      </w:r>
    </w:p>
    <w:p w14:paraId="4139EF4D" w14:textId="307839F1" w:rsidR="001D52B9" w:rsidRPr="001D52B9" w:rsidRDefault="001D52B9" w:rsidP="001D52B9">
      <w:pPr>
        <w:pStyle w:val="a3"/>
        <w:numPr>
          <w:ilvl w:val="1"/>
          <w:numId w:val="8"/>
        </w:numPr>
        <w:snapToGrid w:val="0"/>
        <w:spacing w:line="500" w:lineRule="exact"/>
        <w:ind w:leftChars="177" w:left="1131" w:hangingChars="252" w:hanging="706"/>
        <w:jc w:val="both"/>
        <w:rPr>
          <w:rFonts w:ascii="標楷體" w:eastAsia="標楷體" w:hAnsi="標楷體"/>
          <w:sz w:val="28"/>
        </w:rPr>
      </w:pPr>
      <w:r w:rsidRPr="001D52B9">
        <w:rPr>
          <w:rFonts w:ascii="標楷體" w:eastAsia="標楷體" w:hAnsi="標楷體" w:hint="eastAsia"/>
          <w:sz w:val="28"/>
        </w:rPr>
        <w:t>掃描QR code</w:t>
      </w:r>
    </w:p>
    <w:p w14:paraId="16DA9856" w14:textId="00B23CE6" w:rsidR="001D52B9" w:rsidRDefault="001D52B9" w:rsidP="001D52B9">
      <w:pPr>
        <w:pStyle w:val="a3"/>
        <w:numPr>
          <w:ilvl w:val="0"/>
          <w:numId w:val="8"/>
        </w:numPr>
        <w:snapToGrid w:val="0"/>
        <w:spacing w:line="500" w:lineRule="exact"/>
        <w:ind w:leftChars="0" w:left="709" w:hanging="709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各縣市皆可跨區報名參加。</w:t>
      </w:r>
    </w:p>
    <w:p w14:paraId="726F8024" w14:textId="6BC3B95F" w:rsidR="001D52B9" w:rsidRDefault="001D52B9" w:rsidP="001D52B9">
      <w:pPr>
        <w:pStyle w:val="a3"/>
        <w:numPr>
          <w:ilvl w:val="0"/>
          <w:numId w:val="8"/>
        </w:numPr>
        <w:snapToGrid w:val="0"/>
        <w:spacing w:line="500" w:lineRule="exact"/>
        <w:ind w:leftChars="0" w:left="709" w:hanging="709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聯繫電話：(02) 28718288分機 6409 吳品嫻、傅思凱</w:t>
      </w:r>
    </w:p>
    <w:p w14:paraId="28F5A6B9" w14:textId="21872E77" w:rsidR="001D52B9" w:rsidRPr="00F04EB7" w:rsidRDefault="001D52B9" w:rsidP="00F04EB7">
      <w:pPr>
        <w:pStyle w:val="a3"/>
        <w:numPr>
          <w:ilvl w:val="0"/>
          <w:numId w:val="8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sz w:val="28"/>
        </w:rPr>
      </w:pPr>
      <w:r w:rsidRPr="00F04EB7">
        <w:rPr>
          <w:rFonts w:ascii="標楷體" w:eastAsia="標楷體" w:hAnsi="標楷體" w:hint="eastAsia"/>
          <w:sz w:val="28"/>
        </w:rPr>
        <w:t>公務人員終身學習時數</w:t>
      </w:r>
      <w:r w:rsidR="00F04EB7" w:rsidRPr="00F04EB7">
        <w:rPr>
          <w:rFonts w:ascii="標楷體" w:eastAsia="標楷體" w:hAnsi="標楷體" w:hint="eastAsia"/>
          <w:sz w:val="28"/>
        </w:rPr>
        <w:t>、物理治療學會、職能治療學會、臺灣復健醫學會、台灣老年學暨老年醫學會、中華民國護理師護士公會全國聯合會、台灣家庭</w:t>
      </w:r>
      <w:proofErr w:type="gramStart"/>
      <w:r w:rsidR="00F04EB7" w:rsidRPr="00F04EB7">
        <w:rPr>
          <w:rFonts w:ascii="標楷體" w:eastAsia="標楷體" w:hAnsi="標楷體" w:hint="eastAsia"/>
          <w:sz w:val="28"/>
        </w:rPr>
        <w:t>醫學醫學</w:t>
      </w:r>
      <w:proofErr w:type="gramEnd"/>
      <w:r w:rsidR="00F04EB7" w:rsidRPr="00F04EB7">
        <w:rPr>
          <w:rFonts w:ascii="標楷體" w:eastAsia="標楷體" w:hAnsi="標楷體" w:hint="eastAsia"/>
          <w:sz w:val="28"/>
        </w:rPr>
        <w:t>會、台灣運動</w:t>
      </w:r>
      <w:proofErr w:type="gramStart"/>
      <w:r w:rsidR="00F04EB7" w:rsidRPr="00F04EB7">
        <w:rPr>
          <w:rFonts w:ascii="標楷體" w:eastAsia="標楷體" w:hAnsi="標楷體" w:hint="eastAsia"/>
          <w:sz w:val="28"/>
        </w:rPr>
        <w:t>醫學醫學</w:t>
      </w:r>
      <w:proofErr w:type="gramEnd"/>
      <w:r w:rsidR="00F04EB7" w:rsidRPr="00F04EB7">
        <w:rPr>
          <w:rFonts w:ascii="標楷體" w:eastAsia="標楷體" w:hAnsi="標楷體" w:hint="eastAsia"/>
          <w:sz w:val="28"/>
        </w:rPr>
        <w:t>會、運動傷害防護學會</w:t>
      </w:r>
      <w:r w:rsidR="00F04EB7">
        <w:rPr>
          <w:rFonts w:ascii="標楷體" w:eastAsia="標楷體" w:hAnsi="標楷體" w:hint="eastAsia"/>
          <w:sz w:val="28"/>
        </w:rPr>
        <w:t>、國民體適能指導員</w:t>
      </w:r>
      <w:r w:rsidRPr="00F04EB7">
        <w:rPr>
          <w:rFonts w:ascii="標楷體" w:eastAsia="標楷體" w:hAnsi="標楷體" w:hint="eastAsia"/>
          <w:sz w:val="28"/>
        </w:rPr>
        <w:t>繼續教育積分申請中。</w:t>
      </w:r>
    </w:p>
    <w:p w14:paraId="11B1FDCC" w14:textId="435AAFA4" w:rsidR="00366B93" w:rsidRPr="001D52B9" w:rsidRDefault="00366B93" w:rsidP="001D52B9">
      <w:pPr>
        <w:widowControl/>
      </w:pPr>
    </w:p>
    <w:sectPr w:rsidR="00366B93" w:rsidRPr="001D52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6479A" w14:textId="77777777" w:rsidR="007D635E" w:rsidRDefault="007D635E" w:rsidP="00B4169E">
      <w:r>
        <w:separator/>
      </w:r>
    </w:p>
  </w:endnote>
  <w:endnote w:type="continuationSeparator" w:id="0">
    <w:p w14:paraId="346420EF" w14:textId="77777777" w:rsidR="007D635E" w:rsidRDefault="007D635E" w:rsidP="00B4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5F7C1" w14:textId="77777777" w:rsidR="007D635E" w:rsidRDefault="007D635E" w:rsidP="00B4169E">
      <w:r>
        <w:separator/>
      </w:r>
    </w:p>
  </w:footnote>
  <w:footnote w:type="continuationSeparator" w:id="0">
    <w:p w14:paraId="033EEDC1" w14:textId="77777777" w:rsidR="007D635E" w:rsidRDefault="007D635E" w:rsidP="00B41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881"/>
    <w:multiLevelType w:val="hybridMultilevel"/>
    <w:tmpl w:val="4C249744"/>
    <w:lvl w:ilvl="0" w:tplc="1698138C">
      <w:start w:val="1"/>
      <w:numFmt w:val="taiwaneseCountingThousand"/>
      <w:lvlText w:val="%1、"/>
      <w:lvlJc w:val="left"/>
      <w:pPr>
        <w:ind w:left="15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1">
    <w:nsid w:val="10BF2F8A"/>
    <w:multiLevelType w:val="hybridMultilevel"/>
    <w:tmpl w:val="29A06E24"/>
    <w:lvl w:ilvl="0" w:tplc="CF50E948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eastAsia="標楷體" w:hAnsiTheme="minorHAnsi" w:hint="default"/>
      </w:rPr>
    </w:lvl>
    <w:lvl w:ilvl="1" w:tplc="1526BFD8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5C6E9A"/>
    <w:multiLevelType w:val="hybridMultilevel"/>
    <w:tmpl w:val="D6FACFEE"/>
    <w:lvl w:ilvl="0" w:tplc="07D86D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4323A9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AA4D3A"/>
    <w:multiLevelType w:val="hybridMultilevel"/>
    <w:tmpl w:val="29A06E24"/>
    <w:lvl w:ilvl="0" w:tplc="CF50E948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eastAsia="標楷體" w:hAnsiTheme="minorHAnsi" w:hint="default"/>
      </w:rPr>
    </w:lvl>
    <w:lvl w:ilvl="1" w:tplc="1526BFD8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D8868C6"/>
    <w:multiLevelType w:val="hybridMultilevel"/>
    <w:tmpl w:val="9D462B7C"/>
    <w:lvl w:ilvl="0" w:tplc="A822AD5E">
      <w:start w:val="1"/>
      <w:numFmt w:val="ideographLegalTraditional"/>
      <w:lvlText w:val="%1、"/>
      <w:lvlJc w:val="left"/>
      <w:pPr>
        <w:ind w:left="128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6D1526"/>
    <w:multiLevelType w:val="hybridMultilevel"/>
    <w:tmpl w:val="4C249744"/>
    <w:lvl w:ilvl="0" w:tplc="1698138C">
      <w:start w:val="1"/>
      <w:numFmt w:val="taiwaneseCountingThousand"/>
      <w:lvlText w:val="%1、"/>
      <w:lvlJc w:val="left"/>
      <w:pPr>
        <w:ind w:left="15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6">
    <w:nsid w:val="7AE61A7D"/>
    <w:multiLevelType w:val="hybridMultilevel"/>
    <w:tmpl w:val="4C249744"/>
    <w:lvl w:ilvl="0" w:tplc="1698138C">
      <w:start w:val="1"/>
      <w:numFmt w:val="taiwaneseCountingThousand"/>
      <w:lvlText w:val="%1、"/>
      <w:lvlJc w:val="left"/>
      <w:pPr>
        <w:ind w:left="15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7">
    <w:nsid w:val="7FD96B61"/>
    <w:multiLevelType w:val="hybridMultilevel"/>
    <w:tmpl w:val="4C249744"/>
    <w:lvl w:ilvl="0" w:tplc="1698138C">
      <w:start w:val="1"/>
      <w:numFmt w:val="taiwaneseCountingThousand"/>
      <w:lvlText w:val="%1、"/>
      <w:lvlJc w:val="left"/>
      <w:pPr>
        <w:ind w:left="15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4A"/>
    <w:rsid w:val="000771B6"/>
    <w:rsid w:val="0009250B"/>
    <w:rsid w:val="000B0324"/>
    <w:rsid w:val="000E7EA8"/>
    <w:rsid w:val="001161BB"/>
    <w:rsid w:val="001D52B9"/>
    <w:rsid w:val="001E4635"/>
    <w:rsid w:val="00216093"/>
    <w:rsid w:val="003240E5"/>
    <w:rsid w:val="00366B93"/>
    <w:rsid w:val="00387B04"/>
    <w:rsid w:val="003A718C"/>
    <w:rsid w:val="004A14B1"/>
    <w:rsid w:val="004D5588"/>
    <w:rsid w:val="004F7B30"/>
    <w:rsid w:val="004F7C6A"/>
    <w:rsid w:val="00513ADC"/>
    <w:rsid w:val="00582D0C"/>
    <w:rsid w:val="00651C59"/>
    <w:rsid w:val="006C72EC"/>
    <w:rsid w:val="00732466"/>
    <w:rsid w:val="00750C80"/>
    <w:rsid w:val="007C1246"/>
    <w:rsid w:val="007D635E"/>
    <w:rsid w:val="007D7655"/>
    <w:rsid w:val="007F2737"/>
    <w:rsid w:val="00893053"/>
    <w:rsid w:val="008B4F84"/>
    <w:rsid w:val="009825F0"/>
    <w:rsid w:val="009A35B0"/>
    <w:rsid w:val="00A5369F"/>
    <w:rsid w:val="00A65C98"/>
    <w:rsid w:val="00AF351A"/>
    <w:rsid w:val="00B4169E"/>
    <w:rsid w:val="00B75D62"/>
    <w:rsid w:val="00B80FD7"/>
    <w:rsid w:val="00B8717E"/>
    <w:rsid w:val="00BA2BD2"/>
    <w:rsid w:val="00BE1240"/>
    <w:rsid w:val="00C47462"/>
    <w:rsid w:val="00D37DBB"/>
    <w:rsid w:val="00D627E8"/>
    <w:rsid w:val="00D8693E"/>
    <w:rsid w:val="00D95E4A"/>
    <w:rsid w:val="00E30FBE"/>
    <w:rsid w:val="00E60706"/>
    <w:rsid w:val="00F04EB7"/>
    <w:rsid w:val="00F351B6"/>
    <w:rsid w:val="00F40CED"/>
    <w:rsid w:val="00F731D2"/>
    <w:rsid w:val="00F91A55"/>
    <w:rsid w:val="00FB6777"/>
    <w:rsid w:val="00FE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4DFD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E4A"/>
    <w:pPr>
      <w:ind w:leftChars="200" w:left="480"/>
    </w:pPr>
  </w:style>
  <w:style w:type="table" w:styleId="a4">
    <w:name w:val="Table Grid"/>
    <w:basedOn w:val="a1"/>
    <w:uiPriority w:val="59"/>
    <w:rsid w:val="0038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7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87B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1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4169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41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4169E"/>
    <w:rPr>
      <w:sz w:val="20"/>
      <w:szCs w:val="20"/>
    </w:rPr>
  </w:style>
  <w:style w:type="character" w:styleId="ab">
    <w:name w:val="Hyperlink"/>
    <w:basedOn w:val="a0"/>
    <w:uiPriority w:val="99"/>
    <w:unhideWhenUsed/>
    <w:rsid w:val="007F27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E4A"/>
    <w:pPr>
      <w:ind w:leftChars="200" w:left="480"/>
    </w:pPr>
  </w:style>
  <w:style w:type="table" w:styleId="a4">
    <w:name w:val="Table Grid"/>
    <w:basedOn w:val="a1"/>
    <w:uiPriority w:val="59"/>
    <w:rsid w:val="0038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7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87B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1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4169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41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4169E"/>
    <w:rPr>
      <w:sz w:val="20"/>
      <w:szCs w:val="20"/>
    </w:rPr>
  </w:style>
  <w:style w:type="character" w:styleId="ab">
    <w:name w:val="Hyperlink"/>
    <w:basedOn w:val="a0"/>
    <w:uiPriority w:val="99"/>
    <w:unhideWhenUsed/>
    <w:rsid w:val="007F2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曾國維-fossil</dc:creator>
  <cp:lastModifiedBy>曾國維-fossil</cp:lastModifiedBy>
  <cp:revision>2</cp:revision>
  <cp:lastPrinted>2017-04-18T01:51:00Z</cp:lastPrinted>
  <dcterms:created xsi:type="dcterms:W3CDTF">2017-04-24T02:37:00Z</dcterms:created>
  <dcterms:modified xsi:type="dcterms:W3CDTF">2017-04-24T02:37:00Z</dcterms:modified>
</cp:coreProperties>
</file>